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gif" ContentType="image/gi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8BE61">
      <w:pPr>
        <w:spacing w:line="1137" w:lineRule="exact"/>
        <w:ind w:firstLine="7308" w:firstLineChars="1400"/>
      </w:pPr>
      <w:r>
        <w:rPr>
          <w:rFonts w:ascii="宋体"/>
          <w:b/>
          <w:bCs/>
          <w:sz w:val="52"/>
          <w:lang w:eastAsia="zh-CN"/>
        </w:rPr>
        <w:drawing>
          <wp:anchor distT="0" distB="0" distL="114300" distR="114300" simplePos="0" relativeHeight="251664384" behindDoc="0" locked="0" layoutInCell="1" allowOverlap="1">
            <wp:simplePos x="0" y="0"/>
            <wp:positionH relativeFrom="column">
              <wp:posOffset>2899410</wp:posOffset>
            </wp:positionH>
            <wp:positionV relativeFrom="paragraph">
              <wp:posOffset>190500</wp:posOffset>
            </wp:positionV>
            <wp:extent cx="1817370" cy="716280"/>
            <wp:effectExtent l="0" t="0" r="11430" b="0"/>
            <wp:wrapNone/>
            <wp:docPr id="1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1817228" cy="716280"/>
                    </a:xfrm>
                    <a:prstGeom prst="rect">
                      <a:avLst/>
                    </a:prstGeom>
                    <a:noFill/>
                    <a:ln w="9525">
                      <a:noFill/>
                    </a:ln>
                  </pic:spPr>
                </pic:pic>
              </a:graphicData>
            </a:graphic>
          </wp:anchor>
        </w:drawing>
      </w:r>
      <w:r>
        <w:rPr>
          <w:rFonts w:hint="eastAsia" w:ascii="黑体" w:hAnsi="Calibri" w:eastAsia="黑体"/>
          <w:sz w:val="84"/>
          <w:szCs w:val="84"/>
        </w:rPr>
        <w:t>(皖)</w:t>
      </w:r>
    </w:p>
    <w:p w14:paraId="154FF612">
      <w:pPr>
        <w:tabs>
          <w:tab w:val="center" w:pos="4734"/>
          <w:tab w:val="right" w:pos="9468"/>
        </w:tabs>
        <w:jc w:val="right"/>
        <w:rPr>
          <w:rFonts w:eastAsia="方正小标宋简体"/>
          <w:w w:val="120"/>
          <w:szCs w:val="21"/>
        </w:rPr>
      </w:pPr>
      <w:r>
        <w:rPr>
          <w:rFonts w:eastAsia="方正小标宋简体"/>
          <w:w w:val="120"/>
          <w:szCs w:val="21"/>
        </w:rPr>
        <w:tab/>
      </w:r>
    </w:p>
    <w:p w14:paraId="21D816A3">
      <w:pPr>
        <w:jc w:val="center"/>
        <w:rPr>
          <w:rFonts w:ascii="方正小标宋_GBK" w:hAnsi="Calibri" w:eastAsia="方正小标宋_GBK"/>
          <w:w w:val="120"/>
          <w:sz w:val="52"/>
          <w:szCs w:val="52"/>
        </w:rPr>
      </w:pPr>
      <w:bookmarkStart w:id="16" w:name="_GoBack"/>
      <w:bookmarkEnd w:id="16"/>
      <w:r>
        <w:rPr>
          <w:rFonts w:hint="eastAsia" w:ascii="方正小标宋_GBK" w:hAnsi="Calibri" w:eastAsia="方正小标宋_GBK"/>
          <w:w w:val="120"/>
          <w:sz w:val="52"/>
          <w:szCs w:val="52"/>
        </w:rPr>
        <w:t>安徽省地方计量技术规范</w:t>
      </w:r>
    </w:p>
    <w:p w14:paraId="3887AAB9">
      <w:pPr>
        <w:tabs>
          <w:tab w:val="center" w:pos="4734"/>
          <w:tab w:val="right" w:pos="9468"/>
        </w:tabs>
        <w:jc w:val="left"/>
        <w:rPr>
          <w:rFonts w:eastAsia="方正小标宋简体"/>
          <w:w w:val="120"/>
          <w:szCs w:val="21"/>
        </w:rPr>
      </w:pPr>
    </w:p>
    <w:p w14:paraId="69ADBB1E">
      <w:pPr>
        <w:wordWrap w:val="0"/>
        <w:jc w:val="right"/>
        <w:rPr>
          <w:rFonts w:eastAsia="黑体"/>
          <w:sz w:val="28"/>
        </w:rPr>
      </w:pPr>
      <w:r>
        <w:rPr>
          <w:sz w:val="20"/>
        </w:rPr>
        <w:pict>
          <v:line id="Line 1253" o:spid="_x0000_s2050" o:spt="20" style="position:absolute;left:0pt;margin-left:0pt;margin-top:30.3pt;height:0pt;width:467.7pt;z-index:251661312;mso-width-relative:page;mso-height-relative:page;" coordsize="21600,21600" o:gfxdata="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K+/Q1AAAAAYBAAAPAAAAAAAAAAEAIAAAACIAAABkcnMvZG93bnJldi54&#10;bWxQSwECFAAUAAAACACHTuJA0CRQDMUBAACOAwAADgAAAAAAAAABACAAAAAjAQAAZHJzL2Uyb0Rv&#10;Yy54bWxQSwUGAAAAAAYABgBZAQAAWgUAAAAA&#10;">
            <v:path arrowok="t"/>
            <v:fill focussize="0,0"/>
            <v:stroke/>
            <v:imagedata o:title=""/>
            <o:lock v:ext="edit"/>
          </v:line>
        </w:pict>
      </w:r>
      <w:r>
        <w:rPr>
          <w:rFonts w:eastAsia="黑体"/>
          <w:sz w:val="28"/>
        </w:rPr>
        <w:t xml:space="preserve"> JJF（皖）×××—</w:t>
      </w:r>
      <w:r>
        <w:rPr>
          <w:rFonts w:hint="eastAsia" w:eastAsia="黑体"/>
          <w:sz w:val="28"/>
        </w:rPr>
        <w:t>2025</w:t>
      </w:r>
      <w:r>
        <w:rPr>
          <w:rFonts w:eastAsia="黑体"/>
          <w:sz w:val="28"/>
        </w:rPr>
        <w:t xml:space="preserve">       </w:t>
      </w:r>
    </w:p>
    <w:p w14:paraId="41980E76"/>
    <w:p w14:paraId="5A42032F"/>
    <w:p w14:paraId="36CA2A88">
      <w:pPr>
        <w:tabs>
          <w:tab w:val="left" w:pos="7465"/>
        </w:tabs>
        <w:jc w:val="left"/>
        <w:rPr>
          <w:sz w:val="52"/>
        </w:rPr>
      </w:pPr>
      <w:r>
        <w:rPr>
          <w:sz w:val="52"/>
        </w:rPr>
        <w:tab/>
      </w:r>
    </w:p>
    <w:p w14:paraId="510CE112">
      <w:pPr>
        <w:tabs>
          <w:tab w:val="left" w:pos="7465"/>
        </w:tabs>
        <w:jc w:val="center"/>
        <w:rPr>
          <w:sz w:val="52"/>
        </w:rPr>
      </w:pPr>
      <w:r>
        <w:rPr>
          <w:rFonts w:eastAsia="黑体"/>
          <w:sz w:val="52"/>
          <w:szCs w:val="52"/>
        </w:rPr>
        <w:t>电梯加速度测试仪校准规范</w:t>
      </w:r>
    </w:p>
    <w:p w14:paraId="11638F66">
      <w:pPr>
        <w:autoSpaceDE w:val="0"/>
        <w:autoSpaceDN w:val="0"/>
        <w:adjustRightInd w:val="0"/>
        <w:jc w:val="center"/>
        <w:rPr>
          <w:rFonts w:eastAsia="黑体"/>
          <w:kern w:val="0"/>
          <w:sz w:val="52"/>
          <w:szCs w:val="52"/>
        </w:rPr>
      </w:pPr>
      <w:r>
        <w:rPr>
          <w:rFonts w:eastAsia="黑体"/>
          <w:sz w:val="52"/>
          <w:szCs w:val="52"/>
        </w:rPr>
        <w:t xml:space="preserve"> </w:t>
      </w:r>
    </w:p>
    <w:p w14:paraId="56F63319">
      <w:pPr>
        <w:autoSpaceDE w:val="0"/>
        <w:autoSpaceDN w:val="0"/>
        <w:adjustRightInd w:val="0"/>
        <w:jc w:val="center"/>
        <w:rPr>
          <w:rFonts w:eastAsia="黑体"/>
          <w:kern w:val="0"/>
          <w:sz w:val="52"/>
          <w:szCs w:val="52"/>
        </w:rPr>
      </w:pPr>
      <w:r>
        <w:rPr>
          <w:rFonts w:eastAsia="黑体"/>
          <w:kern w:val="0"/>
          <w:sz w:val="28"/>
          <w:szCs w:val="28"/>
        </w:rPr>
        <w:t xml:space="preserve">Calibration Specification for Elevator </w:t>
      </w:r>
      <w:r>
        <w:fldChar w:fldCharType="begin"/>
      </w:r>
      <w:r>
        <w:instrText xml:space="preserve"> HYPERLINK "https://www.baidu.com/s?sa=re_dqa_generate&amp;wd=Acceleration%20Tester%20for%20Elevators&amp;rsv_pq=ec840ca300641a30&amp;oq=%E7%94%B5%E6%A2%AF%E5%8A%A0%E9%80%9F%E5%BA%A6%E6%B5%8B%E8%AF%95%E4%BB%AA%E7%BF%BB%E8%AF%91&amp;rsv_t=869b8bUtFV7UeOZBrYzE/wMZMnmw0rtGpbJNX5MNVC2Xe6QxH4TQ1Ii+qATy4NKMiy9TFoxr+uJL&amp;tn=40020637_29_oem_dg&amp;ie=utf-8" \t "_blank" </w:instrText>
      </w:r>
      <w:r>
        <w:fldChar w:fldCharType="separate"/>
      </w:r>
      <w:r>
        <w:rPr>
          <w:rFonts w:eastAsia="黑体"/>
          <w:kern w:val="0"/>
          <w:sz w:val="28"/>
          <w:szCs w:val="28"/>
        </w:rPr>
        <w:t>Acceleration Tester</w:t>
      </w:r>
      <w:r>
        <w:rPr>
          <w:rFonts w:eastAsia="黑体"/>
          <w:kern w:val="0"/>
          <w:sz w:val="28"/>
          <w:szCs w:val="28"/>
        </w:rPr>
        <w:fldChar w:fldCharType="end"/>
      </w:r>
    </w:p>
    <w:p w14:paraId="2BEE9765">
      <w:pPr>
        <w:spacing w:beforeLines="70" w:line="400" w:lineRule="exact"/>
        <w:ind w:firstLine="560"/>
      </w:pPr>
    </w:p>
    <w:p w14:paraId="52809E9F">
      <w:pPr>
        <w:spacing w:beforeLines="70" w:line="400" w:lineRule="exact"/>
        <w:ind w:firstLine="560"/>
      </w:pPr>
    </w:p>
    <w:p w14:paraId="4DC18D82">
      <w:pPr>
        <w:spacing w:beforeLines="70" w:line="400" w:lineRule="exact"/>
        <w:ind w:firstLine="560"/>
      </w:pPr>
    </w:p>
    <w:p w14:paraId="26879A4A">
      <w:pPr>
        <w:spacing w:beforeLines="70" w:line="400" w:lineRule="exact"/>
        <w:ind w:firstLine="560"/>
      </w:pPr>
    </w:p>
    <w:p w14:paraId="69692744">
      <w:pPr>
        <w:spacing w:beforeLines="70" w:line="400" w:lineRule="exact"/>
        <w:ind w:firstLine="560"/>
        <w:rPr>
          <w:rFonts w:eastAsia="黑体"/>
          <w:kern w:val="0"/>
          <w:sz w:val="28"/>
          <w:szCs w:val="28"/>
        </w:rPr>
      </w:pPr>
    </w:p>
    <w:p w14:paraId="16EBCF5F">
      <w:pPr>
        <w:spacing w:line="360" w:lineRule="auto"/>
        <w:jc w:val="center"/>
        <w:rPr>
          <w:rFonts w:eastAsia="黑体"/>
          <w:kern w:val="0"/>
          <w:sz w:val="28"/>
          <w:szCs w:val="28"/>
        </w:rPr>
      </w:pPr>
    </w:p>
    <w:p w14:paraId="3C746003">
      <w:pPr>
        <w:spacing w:beforeLines="350"/>
        <w:jc w:val="center"/>
        <w:rPr>
          <w:rFonts w:eastAsia="黑体"/>
          <w:sz w:val="28"/>
          <w:szCs w:val="28"/>
        </w:rPr>
      </w:pPr>
      <w:r>
        <w:rPr>
          <w:rFonts w:eastAsia="黑体"/>
          <w:sz w:val="28"/>
        </w:rPr>
        <w:t>××</w:t>
      </w:r>
      <w:r>
        <w:rPr>
          <w:rFonts w:eastAsia="黑体"/>
          <w:sz w:val="28"/>
          <w:szCs w:val="28"/>
        </w:rPr>
        <w:t>-</w:t>
      </w:r>
      <w:r>
        <w:rPr>
          <w:rFonts w:eastAsia="黑体"/>
          <w:sz w:val="28"/>
        </w:rPr>
        <w:t>××</w:t>
      </w:r>
      <w:r>
        <w:rPr>
          <w:rFonts w:eastAsia="黑体"/>
          <w:sz w:val="28"/>
          <w:szCs w:val="28"/>
        </w:rPr>
        <w:t>-</w:t>
      </w:r>
      <w:r>
        <w:rPr>
          <w:rFonts w:eastAsia="黑体"/>
          <w:sz w:val="28"/>
        </w:rPr>
        <w:t>××</w:t>
      </w:r>
      <w:r>
        <w:rPr>
          <w:rFonts w:eastAsia="黑体"/>
          <w:sz w:val="28"/>
          <w:szCs w:val="28"/>
        </w:rPr>
        <w:t>发布</w:t>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rPr>
        <w:t>××</w:t>
      </w:r>
      <w:r>
        <w:rPr>
          <w:rFonts w:eastAsia="黑体"/>
          <w:sz w:val="28"/>
          <w:szCs w:val="28"/>
        </w:rPr>
        <w:t>-</w:t>
      </w:r>
      <w:r>
        <w:rPr>
          <w:rFonts w:eastAsia="黑体"/>
          <w:sz w:val="28"/>
        </w:rPr>
        <w:t>××</w:t>
      </w:r>
      <w:r>
        <w:rPr>
          <w:rFonts w:eastAsia="黑体"/>
          <w:sz w:val="28"/>
          <w:szCs w:val="28"/>
        </w:rPr>
        <w:t>-</w:t>
      </w:r>
      <w:r>
        <w:rPr>
          <w:rFonts w:eastAsia="黑体"/>
          <w:sz w:val="28"/>
        </w:rPr>
        <w:t>××</w:t>
      </w:r>
      <w:r>
        <w:rPr>
          <w:rFonts w:eastAsia="黑体"/>
          <w:sz w:val="28"/>
          <w:szCs w:val="28"/>
        </w:rPr>
        <w:t>实施</w:t>
      </w:r>
    </w:p>
    <w:p w14:paraId="647D8931">
      <w:pPr>
        <w:jc w:val="center"/>
        <w:rPr>
          <w:rFonts w:eastAsia="黑体"/>
          <w:sz w:val="28"/>
          <w:szCs w:val="28"/>
        </w:rPr>
        <w:sectPr>
          <w:headerReference r:id="rId3" w:type="default"/>
          <w:footerReference r:id="rId5" w:type="default"/>
          <w:headerReference r:id="rId4" w:type="even"/>
          <w:pgSz w:w="11906" w:h="16838"/>
          <w:pgMar w:top="936" w:right="1077" w:bottom="1361" w:left="1361" w:header="851" w:footer="992" w:gutter="0"/>
          <w:pgNumType w:fmt="upperRoman" w:start="1"/>
          <w:cols w:space="720" w:num="1"/>
          <w:titlePg/>
          <w:docGrid w:type="lines" w:linePitch="312" w:charSpace="0"/>
        </w:sectPr>
      </w:pPr>
      <w:r>
        <w:rPr>
          <w:rFonts w:eastAsia="黑体"/>
          <w:sz w:val="28"/>
          <w:szCs w:val="28"/>
        </w:rPr>
        <w:pict>
          <v:line id="Line 1246" o:spid="_x0000_s2085" o:spt="20" style="position:absolute;left:0pt;margin-left:0pt;margin-top:-0.1pt;height:0pt;width:467.7pt;z-index:251660288;mso-width-relative:page;mso-height-relative:page;" coordsize="21600,21600" o:gfxdata="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rgo3vTAAAABAEAAA8AAAAAAAAAAQAgAAAAIgAAAGRycy9kb3ducmV2Lnht&#10;bFBLAQIUABQAAAAIAIdO4kD6Xv3VxQEAAI4DAAAOAAAAAAAAAAEAIAAAACIBAABkcnMvZTJvRG9j&#10;LnhtbFBLBQYAAAAABgAGAFkBAABZBQAAAAA=&#10;">
            <v:path arrowok="t"/>
            <v:fill focussize="0,0"/>
            <v:stroke/>
            <v:imagedata o:title=""/>
            <o:lock v:ext="edit"/>
          </v:line>
        </w:pict>
      </w:r>
      <w:r>
        <w:rPr>
          <w:rFonts w:eastAsia="方正小标宋简体"/>
          <w:w w:val="120"/>
          <w:sz w:val="44"/>
          <w:szCs w:val="44"/>
        </w:rPr>
        <w:t xml:space="preserve">安徽省市场监督管理局 </w:t>
      </w:r>
      <w:r>
        <w:rPr>
          <w:rFonts w:eastAsia="黑体"/>
          <w:sz w:val="28"/>
          <w:szCs w:val="28"/>
        </w:rPr>
        <w:t>发 布</w:t>
      </w:r>
    </w:p>
    <w:p w14:paraId="69FF0997">
      <w:pPr>
        <w:autoSpaceDE w:val="0"/>
        <w:autoSpaceDN w:val="0"/>
        <w:adjustRightInd w:val="0"/>
        <w:jc w:val="left"/>
        <w:rPr>
          <w:rFonts w:eastAsia="黑体"/>
          <w:kern w:val="0"/>
          <w:sz w:val="44"/>
          <w:szCs w:val="44"/>
        </w:rPr>
      </w:pPr>
      <w:r>
        <w:rPr>
          <w:rFonts w:eastAsia="黑体"/>
          <w:sz w:val="44"/>
          <w:szCs w:val="44"/>
        </w:rPr>
        <w:pict>
          <v:shape id="AutoShape 1259" o:spid="_x0000_s2084" o:spt="176" type="#_x0000_t176" style="position:absolute;left:0pt;margin-left:321.2pt;margin-top:8.25pt;height:62.35pt;width:147pt;z-index:251662336;mso-width-relative:page;mso-height-relative:page;" coordsize="21600,21600" o:gfxdata="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F2PYnZAAAACgEAAA8AAAAAAAAAAQAgAAAAIgAAAGRycy9kb3ducmV2LnhtbFBL&#10;AQIUABQAAAAIAIdO4kBo12LdLgIAAJsEAAAOAAAAAAAAAAEAIAAAACgBAABkcnMvZTJvRG9jLnht&#10;bFBLBQYAAAAABgAGAFkBAADIBQAAAAA=&#10;">
            <v:path/>
            <v:fill focussize="0,0"/>
            <v:stroke r:id="rId20" weight="1.5pt" o:relid="rId20" filltype="pattern"/>
            <v:imagedata o:title=""/>
            <o:lock v:ext="edit" aspectratio="t"/>
            <v:textbox inset="5mm,5mm,0mm,0mm">
              <w:txbxContent>
                <w:p w14:paraId="7EAAF217">
                  <w:pPr>
                    <w:ind w:left="-283" w:leftChars="-135"/>
                    <w:jc w:val="left"/>
                  </w:pPr>
                  <w:r>
                    <w:rPr>
                      <w:rFonts w:hint="eastAsia" w:ascii="黑体" w:eastAsia="黑体"/>
                      <w:sz w:val="28"/>
                      <w:szCs w:val="28"/>
                    </w:rPr>
                    <w:t xml:space="preserve">JJF(皖) </w:t>
                  </w:r>
                  <w:r>
                    <w:rPr>
                      <w:rFonts w:hint="eastAsia" w:ascii="黑体" w:hAnsi="Georgia" w:eastAsia="黑体"/>
                      <w:sz w:val="28"/>
                    </w:rPr>
                    <w:t>×××</w:t>
                  </w:r>
                  <w:r>
                    <w:rPr>
                      <w:rFonts w:hint="eastAsia" w:ascii="黑体" w:eastAsia="黑体"/>
                      <w:sz w:val="28"/>
                      <w:szCs w:val="28"/>
                    </w:rPr>
                    <w:t>-</w:t>
                  </w:r>
                  <w:r>
                    <w:rPr>
                      <w:rFonts w:hint="eastAsia" w:ascii="黑体" w:hAnsi="Georgia" w:eastAsia="黑体"/>
                      <w:sz w:val="28"/>
                    </w:rPr>
                    <w:t>2025×</w:t>
                  </w:r>
                </w:p>
              </w:txbxContent>
            </v:textbox>
          </v:shape>
        </w:pict>
      </w:r>
      <w:r>
        <w:rPr>
          <w:rFonts w:eastAsia="黑体"/>
          <w:sz w:val="44"/>
          <w:szCs w:val="44"/>
        </w:rPr>
        <w:t>电梯加速度测试仪校准规范</w:t>
      </w:r>
    </w:p>
    <w:p w14:paraId="7642C0DA">
      <w:pPr>
        <w:pStyle w:val="16"/>
        <w:autoSpaceDE w:val="0"/>
        <w:autoSpaceDN w:val="0"/>
        <w:adjustRightInd w:val="0"/>
        <w:spacing w:line="360" w:lineRule="auto"/>
        <w:rPr>
          <w:rFonts w:ascii="Times New Roman" w:hAnsi="Times New Roman" w:eastAsia="黑体"/>
          <w:kern w:val="0"/>
          <w:sz w:val="28"/>
          <w:szCs w:val="28"/>
        </w:rPr>
      </w:pPr>
      <w:r>
        <w:rPr>
          <w:rFonts w:ascii="Times New Roman" w:hAnsi="Times New Roman" w:eastAsia="黑体"/>
          <w:kern w:val="0"/>
          <w:sz w:val="28"/>
          <w:szCs w:val="28"/>
        </w:rPr>
        <w:t xml:space="preserve">Calibration Specification for </w:t>
      </w:r>
    </w:p>
    <w:p w14:paraId="5CFDE5BA">
      <w:pPr>
        <w:pStyle w:val="16"/>
        <w:autoSpaceDE w:val="0"/>
        <w:autoSpaceDN w:val="0"/>
        <w:adjustRightInd w:val="0"/>
        <w:spacing w:line="360" w:lineRule="auto"/>
        <w:rPr>
          <w:rFonts w:ascii="Times New Roman" w:hAnsi="Times New Roman" w:eastAsia="黑体"/>
          <w:kern w:val="0"/>
          <w:sz w:val="28"/>
          <w:szCs w:val="28"/>
        </w:rPr>
      </w:pPr>
      <w:r>
        <w:rPr>
          <w:rFonts w:ascii="Times New Roman" w:hAnsi="Times New Roman" w:eastAsia="黑体"/>
          <w:kern w:val="0"/>
          <w:sz w:val="28"/>
          <w:szCs w:val="28"/>
        </w:rPr>
        <w:t xml:space="preserve">Elevator </w:t>
      </w:r>
      <w:r>
        <w:fldChar w:fldCharType="begin"/>
      </w:r>
      <w:r>
        <w:instrText xml:space="preserve"> HYPERLINK "https://www.baidu.com/s?sa=re_dqa_generate&amp;wd=Acceleration%20Tester%20for%20Elevators&amp;rsv_pq=ec840ca300641a30&amp;oq=%E7%94%B5%E6%A2%AF%E5%8A%A0%E9%80%9F%E5%BA%A6%E6%B5%8B%E8%AF%95%E4%BB%AA%E7%BF%BB%E8%AF%91&amp;rsv_t=869b8bUtFV7UeOZBrYzE/wMZMnmw0rtGpbJNX5MNVC2Xe6QxH4TQ1Ii+qATy4NKMiy9TFoxr+uJL&amp;tn=40020637_29_oem_dg&amp;ie=utf-8" \t "_blank" </w:instrText>
      </w:r>
      <w:r>
        <w:fldChar w:fldCharType="separate"/>
      </w:r>
      <w:r>
        <w:rPr>
          <w:rFonts w:ascii="Times New Roman" w:hAnsi="Times New Roman" w:eastAsia="黑体"/>
          <w:kern w:val="0"/>
          <w:sz w:val="28"/>
          <w:szCs w:val="28"/>
        </w:rPr>
        <w:t>Acceleration Tester</w:t>
      </w:r>
      <w:r>
        <w:rPr>
          <w:rFonts w:ascii="Times New Roman" w:hAnsi="Times New Roman" w:eastAsia="黑体"/>
          <w:kern w:val="0"/>
          <w:sz w:val="28"/>
          <w:szCs w:val="28"/>
        </w:rPr>
        <w:fldChar w:fldCharType="end"/>
      </w:r>
    </w:p>
    <w:p w14:paraId="4CFD7E15">
      <w:pPr>
        <w:autoSpaceDE w:val="0"/>
        <w:autoSpaceDN w:val="0"/>
        <w:adjustRightInd w:val="0"/>
        <w:jc w:val="left"/>
        <w:rPr>
          <w:rFonts w:eastAsia="仿宋_GB2312"/>
          <w:sz w:val="28"/>
        </w:rPr>
      </w:pPr>
      <w:r>
        <w:rPr>
          <w:rFonts w:eastAsia="仿宋_GB2312"/>
          <w:sz w:val="28"/>
        </w:rPr>
        <w:pict>
          <v:line id="Line 417" o:spid="_x0000_s2083" o:spt="20" style="position:absolute;left:0pt;margin-left:0pt;margin-top:7.95pt;height:0pt;width:459.2pt;z-index:251659264;mso-width-relative:page;mso-height-relative:page;" coordsize="21600,21600" o:gfxdata="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JY0ydQAAAAGAQAADwAAAAAAAAABACAAAAAiAAAAZHJzL2Rvd25yZXYueG1s&#10;UEsBAhQAFAAAAAgAh07iQA82y5bDAQAAjQMAAA4AAAAAAAAAAQAgAAAAIwEAAGRycy9lMm9Eb2Mu&#10;eG1sUEsFBgAAAAAGAAYAWQEAAFgFAAAAAA==&#10;">
            <v:path arrowok="t"/>
            <v:fill focussize="0,0"/>
            <v:stroke/>
            <v:imagedata o:title=""/>
            <o:lock v:ext="edit"/>
          </v:line>
        </w:pict>
      </w:r>
    </w:p>
    <w:p w14:paraId="7923F7B5">
      <w:pPr>
        <w:rPr>
          <w:rFonts w:eastAsia="黑体"/>
          <w:sz w:val="28"/>
          <w:szCs w:val="28"/>
        </w:rPr>
      </w:pPr>
    </w:p>
    <w:p w14:paraId="409E9686">
      <w:pPr>
        <w:jc w:val="left"/>
        <w:rPr>
          <w:rFonts w:eastAsia="黑体"/>
          <w:sz w:val="28"/>
          <w:szCs w:val="28"/>
        </w:rPr>
      </w:pPr>
    </w:p>
    <w:p w14:paraId="4858A7A9">
      <w:pPr>
        <w:rPr>
          <w:sz w:val="28"/>
        </w:rPr>
      </w:pPr>
    </w:p>
    <w:p w14:paraId="1499B258">
      <w:pPr>
        <w:rPr>
          <w:sz w:val="28"/>
        </w:rPr>
      </w:pPr>
    </w:p>
    <w:p w14:paraId="0830F8CC">
      <w:pPr>
        <w:rPr>
          <w:sz w:val="28"/>
        </w:rPr>
      </w:pPr>
    </w:p>
    <w:p w14:paraId="25081A05">
      <w:pPr>
        <w:rPr>
          <w:sz w:val="28"/>
        </w:rPr>
      </w:pPr>
    </w:p>
    <w:p w14:paraId="7B1BE382">
      <w:pPr>
        <w:rPr>
          <w:sz w:val="28"/>
        </w:rPr>
      </w:pPr>
    </w:p>
    <w:p w14:paraId="4C63FEB1">
      <w:pPr>
        <w:rPr>
          <w:sz w:val="28"/>
        </w:rPr>
      </w:pPr>
    </w:p>
    <w:p w14:paraId="76270637">
      <w:pPr>
        <w:rPr>
          <w:sz w:val="28"/>
        </w:rPr>
      </w:pPr>
    </w:p>
    <w:p w14:paraId="289B57D2">
      <w:pPr>
        <w:rPr>
          <w:sz w:val="28"/>
        </w:rPr>
      </w:pPr>
    </w:p>
    <w:p w14:paraId="231C4C24">
      <w:pPr>
        <w:ind w:firstLine="1960" w:firstLineChars="700"/>
        <w:rPr>
          <w:rFonts w:eastAsiaTheme="minorEastAsia"/>
          <w:sz w:val="28"/>
        </w:rPr>
      </w:pPr>
      <w:r>
        <w:rPr>
          <w:rFonts w:eastAsia="黑体"/>
          <w:sz w:val="28"/>
        </w:rPr>
        <w:t>归 口 单 位：</w:t>
      </w:r>
      <w:r>
        <w:rPr>
          <w:sz w:val="28"/>
          <w:szCs w:val="28"/>
        </w:rPr>
        <w:t>安徽省力值计量技术委员会</w:t>
      </w:r>
    </w:p>
    <w:p w14:paraId="0015A378">
      <w:pPr>
        <w:ind w:firstLine="1960" w:firstLineChars="700"/>
        <w:rPr>
          <w:rFonts w:eastAsiaTheme="minorEastAsia"/>
          <w:sz w:val="28"/>
        </w:rPr>
      </w:pPr>
      <w:r>
        <w:rPr>
          <w:rFonts w:eastAsia="黑体"/>
          <w:sz w:val="28"/>
        </w:rPr>
        <w:t>起 草 单 位：</w:t>
      </w:r>
      <w:r>
        <w:rPr>
          <w:rFonts w:eastAsiaTheme="minorEastAsia"/>
          <w:sz w:val="28"/>
        </w:rPr>
        <w:t>安徽省计量科学研究院</w:t>
      </w:r>
    </w:p>
    <w:p w14:paraId="554B4C24">
      <w:pPr>
        <w:ind w:firstLine="1960" w:firstLineChars="700"/>
        <w:rPr>
          <w:rFonts w:eastAsiaTheme="minorEastAsia"/>
          <w:sz w:val="28"/>
        </w:rPr>
      </w:pPr>
      <w:r>
        <w:rPr>
          <w:rFonts w:eastAsia="黑体"/>
          <w:sz w:val="28"/>
        </w:rPr>
        <w:t>参加起草单位：</w:t>
      </w:r>
      <w:r>
        <w:rPr>
          <w:rFonts w:eastAsiaTheme="minorEastAsia"/>
          <w:sz w:val="28"/>
        </w:rPr>
        <w:t>安徽省长江计量所(九一0所)</w:t>
      </w:r>
    </w:p>
    <w:p w14:paraId="5CED2FBD">
      <w:pPr>
        <w:ind w:firstLine="1960" w:firstLineChars="700"/>
        <w:rPr>
          <w:rFonts w:hint="default" w:eastAsiaTheme="minorEastAsia"/>
          <w:sz w:val="28"/>
          <w:lang w:val="en-US" w:eastAsia="zh-CN"/>
        </w:rPr>
      </w:pPr>
      <w:r>
        <w:rPr>
          <w:rFonts w:hint="eastAsia" w:eastAsiaTheme="minorEastAsia"/>
          <w:sz w:val="28"/>
          <w:lang w:val="en-US" w:eastAsia="zh-CN"/>
        </w:rPr>
        <w:t xml:space="preserve">              </w:t>
      </w:r>
      <w:r>
        <w:rPr>
          <w:rFonts w:hint="eastAsia" w:eastAsiaTheme="minorEastAsia"/>
          <w:sz w:val="28"/>
        </w:rPr>
        <w:t>合肥市特种设备安全监督检验研究院</w:t>
      </w:r>
    </w:p>
    <w:p w14:paraId="2FB89B19">
      <w:pPr>
        <w:ind w:firstLine="1960" w:firstLineChars="700"/>
        <w:rPr>
          <w:sz w:val="28"/>
        </w:rPr>
      </w:pPr>
    </w:p>
    <w:p w14:paraId="6E9BC44C">
      <w:pPr>
        <w:ind w:firstLine="1960" w:firstLineChars="700"/>
        <w:rPr>
          <w:sz w:val="28"/>
        </w:rPr>
      </w:pPr>
    </w:p>
    <w:p w14:paraId="7D60E656">
      <w:pPr>
        <w:ind w:firstLine="1960" w:firstLineChars="700"/>
        <w:rPr>
          <w:sz w:val="28"/>
        </w:rPr>
      </w:pPr>
    </w:p>
    <w:p w14:paraId="791EDF14">
      <w:pPr>
        <w:spacing w:line="360" w:lineRule="auto"/>
        <w:jc w:val="center"/>
        <w:rPr>
          <w:sz w:val="28"/>
          <w:szCs w:val="28"/>
        </w:rPr>
      </w:pPr>
      <w:r>
        <w:rPr>
          <w:sz w:val="28"/>
          <w:szCs w:val="28"/>
        </w:rPr>
        <w:t>本规范委托安徽省力值计量技术委员会负责解释</w:t>
      </w:r>
    </w:p>
    <w:p w14:paraId="0E59AC85">
      <w:pPr>
        <w:rPr>
          <w:rFonts w:eastAsia="黑体"/>
          <w:sz w:val="28"/>
        </w:rPr>
      </w:pPr>
    </w:p>
    <w:p w14:paraId="2075B640">
      <w:pPr>
        <w:rPr>
          <w:rFonts w:eastAsia="黑体"/>
          <w:sz w:val="28"/>
        </w:rPr>
        <w:sectPr>
          <w:headerReference r:id="rId6" w:type="first"/>
          <w:footerReference r:id="rId9" w:type="first"/>
          <w:footerReference r:id="rId7" w:type="default"/>
          <w:footerReference r:id="rId8" w:type="even"/>
          <w:pgSz w:w="11906" w:h="16838"/>
          <w:pgMar w:top="1440" w:right="1361" w:bottom="1440" w:left="1361" w:header="1361" w:footer="992" w:gutter="0"/>
          <w:pgNumType w:fmt="upperRoman" w:start="1"/>
          <w:cols w:space="720" w:num="1"/>
          <w:titlePg/>
          <w:docGrid w:type="lines" w:linePitch="312" w:charSpace="0"/>
        </w:sectPr>
      </w:pPr>
    </w:p>
    <w:p w14:paraId="1C51487D">
      <w:pPr>
        <w:rPr>
          <w:rFonts w:eastAsia="黑体"/>
          <w:sz w:val="28"/>
        </w:rPr>
      </w:pPr>
    </w:p>
    <w:p w14:paraId="3F29A9FC">
      <w:pPr>
        <w:rPr>
          <w:rFonts w:eastAsia="黑体"/>
          <w:sz w:val="28"/>
        </w:rPr>
      </w:pPr>
    </w:p>
    <w:p w14:paraId="7E8EDD29">
      <w:pPr>
        <w:spacing w:line="360" w:lineRule="auto"/>
        <w:ind w:firstLine="1120" w:firstLineChars="400"/>
        <w:rPr>
          <w:rFonts w:eastAsia="黑体"/>
          <w:sz w:val="28"/>
          <w:szCs w:val="28"/>
        </w:rPr>
      </w:pPr>
      <w:r>
        <w:rPr>
          <w:rFonts w:hint="eastAsia" w:eastAsia="黑体"/>
          <w:sz w:val="28"/>
          <w:szCs w:val="28"/>
        </w:rPr>
        <w:t>本规范主要起草人：</w:t>
      </w:r>
    </w:p>
    <w:p w14:paraId="7F8DAA03">
      <w:pPr>
        <w:spacing w:after="80" w:line="360" w:lineRule="auto"/>
        <w:ind w:firstLine="2240" w:firstLineChars="800"/>
        <w:rPr>
          <w:sz w:val="28"/>
          <w:szCs w:val="28"/>
        </w:rPr>
      </w:pPr>
      <w:r>
        <w:rPr>
          <w:rFonts w:hint="eastAsia"/>
          <w:sz w:val="28"/>
          <w:szCs w:val="28"/>
        </w:rPr>
        <w:t>魏安立（安徽省计量科学研究院）</w:t>
      </w:r>
    </w:p>
    <w:p w14:paraId="4A6E4824">
      <w:pPr>
        <w:spacing w:after="80" w:line="360" w:lineRule="auto"/>
        <w:ind w:firstLine="2240" w:firstLineChars="800"/>
        <w:rPr>
          <w:sz w:val="28"/>
          <w:szCs w:val="28"/>
        </w:rPr>
      </w:pPr>
      <w:r>
        <w:rPr>
          <w:rFonts w:hint="eastAsia"/>
          <w:sz w:val="28"/>
          <w:szCs w:val="28"/>
        </w:rPr>
        <w:t>王占军（安徽省长江计量所（九一0所））</w:t>
      </w:r>
    </w:p>
    <w:p w14:paraId="2FD0B340">
      <w:pPr>
        <w:spacing w:after="80" w:line="360" w:lineRule="auto"/>
        <w:ind w:firstLine="2240" w:firstLineChars="800"/>
        <w:rPr>
          <w:sz w:val="28"/>
          <w:szCs w:val="28"/>
        </w:rPr>
      </w:pPr>
      <w:r>
        <w:rPr>
          <w:rFonts w:hint="eastAsia"/>
          <w:sz w:val="28"/>
          <w:szCs w:val="28"/>
        </w:rPr>
        <w:t>肖凤云（</w:t>
      </w:r>
      <w:bookmarkStart w:id="0" w:name="OLE_LINK10"/>
      <w:bookmarkStart w:id="1" w:name="OLE_LINK8"/>
      <w:r>
        <w:rPr>
          <w:rFonts w:hint="eastAsia"/>
          <w:sz w:val="28"/>
          <w:szCs w:val="28"/>
        </w:rPr>
        <w:t>安徽省长江计量所（九一0所）</w:t>
      </w:r>
      <w:bookmarkEnd w:id="0"/>
      <w:bookmarkEnd w:id="1"/>
      <w:r>
        <w:rPr>
          <w:rFonts w:hint="eastAsia"/>
          <w:sz w:val="28"/>
          <w:szCs w:val="28"/>
        </w:rPr>
        <w:t>）</w:t>
      </w:r>
    </w:p>
    <w:p w14:paraId="727A2716">
      <w:pPr>
        <w:spacing w:after="80" w:line="360" w:lineRule="auto"/>
        <w:ind w:firstLine="2240" w:firstLineChars="800"/>
        <w:rPr>
          <w:sz w:val="28"/>
          <w:szCs w:val="28"/>
        </w:rPr>
      </w:pPr>
      <w:r>
        <w:rPr>
          <w:rFonts w:hint="eastAsia"/>
          <w:sz w:val="28"/>
          <w:szCs w:val="28"/>
        </w:rPr>
        <w:t>汪</w:t>
      </w:r>
      <w:r>
        <w:rPr>
          <w:sz w:val="28"/>
          <w:szCs w:val="28"/>
        </w:rPr>
        <w:t xml:space="preserve">  </w:t>
      </w:r>
      <w:r>
        <w:rPr>
          <w:rFonts w:hint="eastAsia"/>
          <w:sz w:val="28"/>
          <w:szCs w:val="28"/>
        </w:rPr>
        <w:t>泉（安徽省计量科学研究院）</w:t>
      </w:r>
    </w:p>
    <w:p w14:paraId="7CE956B1">
      <w:pPr>
        <w:spacing w:after="80" w:line="360" w:lineRule="auto"/>
        <w:ind w:firstLine="2240" w:firstLineChars="800"/>
        <w:rPr>
          <w:sz w:val="28"/>
          <w:szCs w:val="28"/>
        </w:rPr>
      </w:pPr>
      <w:r>
        <w:rPr>
          <w:rFonts w:hint="eastAsia"/>
          <w:sz w:val="28"/>
          <w:szCs w:val="28"/>
        </w:rPr>
        <w:t>钟  凯（合肥市特种设备安全监督检验研究院）</w:t>
      </w:r>
    </w:p>
    <w:p w14:paraId="4D8E2354">
      <w:pPr>
        <w:tabs>
          <w:tab w:val="left" w:pos="1620"/>
        </w:tabs>
        <w:spacing w:line="360" w:lineRule="auto"/>
        <w:ind w:firstLine="1680" w:firstLineChars="600"/>
        <w:jc w:val="left"/>
        <w:rPr>
          <w:rFonts w:eastAsia="黑体"/>
          <w:sz w:val="28"/>
        </w:rPr>
      </w:pPr>
      <w:r>
        <w:rPr>
          <w:rFonts w:hint="eastAsia" w:eastAsia="黑体"/>
          <w:sz w:val="28"/>
        </w:rPr>
        <w:t>参加起草人：</w:t>
      </w:r>
    </w:p>
    <w:p w14:paraId="35673F19">
      <w:pPr>
        <w:spacing w:after="80" w:line="360" w:lineRule="auto"/>
        <w:ind w:firstLine="2240" w:firstLineChars="800"/>
        <w:rPr>
          <w:sz w:val="28"/>
          <w:szCs w:val="28"/>
        </w:rPr>
      </w:pPr>
      <w:r>
        <w:rPr>
          <w:rFonts w:hint="eastAsia"/>
          <w:sz w:val="28"/>
          <w:szCs w:val="28"/>
        </w:rPr>
        <w:t>黄  微（安徽省长江计量所（九一</w:t>
      </w:r>
      <w:r>
        <w:rPr>
          <w:sz w:val="28"/>
          <w:szCs w:val="28"/>
        </w:rPr>
        <w:t>0</w:t>
      </w:r>
      <w:r>
        <w:rPr>
          <w:rFonts w:hint="eastAsia"/>
          <w:sz w:val="28"/>
          <w:szCs w:val="28"/>
        </w:rPr>
        <w:t>所））</w:t>
      </w:r>
    </w:p>
    <w:p w14:paraId="06E4B4A9">
      <w:pPr>
        <w:spacing w:after="80" w:line="360" w:lineRule="auto"/>
        <w:ind w:firstLine="2240" w:firstLineChars="800"/>
        <w:rPr>
          <w:sz w:val="28"/>
          <w:szCs w:val="28"/>
        </w:rPr>
      </w:pPr>
      <w:r>
        <w:rPr>
          <w:rFonts w:hint="eastAsia"/>
          <w:sz w:val="28"/>
          <w:szCs w:val="28"/>
        </w:rPr>
        <w:t>李成龙（安徽省计量科学研究院）</w:t>
      </w:r>
    </w:p>
    <w:p w14:paraId="6C8A6F0A">
      <w:pPr>
        <w:spacing w:after="80" w:line="360" w:lineRule="auto"/>
        <w:ind w:firstLine="2240" w:firstLineChars="800"/>
        <w:rPr>
          <w:sz w:val="28"/>
          <w:szCs w:val="28"/>
        </w:rPr>
      </w:pPr>
    </w:p>
    <w:p w14:paraId="78DCA52E">
      <w:pPr>
        <w:spacing w:after="80" w:line="360" w:lineRule="auto"/>
        <w:ind w:firstLine="2240" w:firstLineChars="800"/>
        <w:rPr>
          <w:sz w:val="28"/>
          <w:szCs w:val="28"/>
        </w:rPr>
      </w:pPr>
    </w:p>
    <w:p w14:paraId="4CDC09DA">
      <w:pPr>
        <w:spacing w:line="360" w:lineRule="auto"/>
        <w:jc w:val="center"/>
        <w:rPr>
          <w:sz w:val="28"/>
          <w:szCs w:val="28"/>
        </w:rPr>
      </w:pPr>
      <w:r>
        <w:rPr>
          <w:sz w:val="28"/>
          <w:szCs w:val="28"/>
        </w:rPr>
        <w:t xml:space="preserve"> </w:t>
      </w:r>
    </w:p>
    <w:p w14:paraId="139FA795">
      <w:pPr>
        <w:jc w:val="center"/>
        <w:rPr>
          <w:sz w:val="24"/>
        </w:rPr>
      </w:pPr>
    </w:p>
    <w:p w14:paraId="0C06B4FE">
      <w:pPr>
        <w:rPr>
          <w:rFonts w:eastAsia="黑体"/>
          <w:sz w:val="44"/>
          <w:szCs w:val="44"/>
        </w:rPr>
        <w:sectPr>
          <w:footerReference r:id="rId12" w:type="first"/>
          <w:footerReference r:id="rId10" w:type="default"/>
          <w:footerReference r:id="rId11" w:type="even"/>
          <w:pgSz w:w="11906" w:h="16838"/>
          <w:pgMar w:top="1440" w:right="1361" w:bottom="1440" w:left="1361" w:header="1361" w:footer="992" w:gutter="0"/>
          <w:pgNumType w:fmt="upperRoman" w:start="1"/>
          <w:cols w:space="720" w:num="1"/>
          <w:docGrid w:type="lines" w:linePitch="312" w:charSpace="0"/>
        </w:sectPr>
      </w:pPr>
    </w:p>
    <w:p w14:paraId="38183C88">
      <w:pPr>
        <w:rPr>
          <w:rFonts w:eastAsia="黑体"/>
          <w:sz w:val="44"/>
          <w:szCs w:val="44"/>
        </w:rPr>
      </w:pPr>
    </w:p>
    <w:p w14:paraId="2896198A">
      <w:pPr>
        <w:jc w:val="center"/>
        <w:rPr>
          <w:rFonts w:eastAsia="黑体"/>
          <w:szCs w:val="21"/>
        </w:rPr>
      </w:pPr>
      <w:r>
        <w:rPr>
          <w:rFonts w:eastAsia="黑体"/>
          <w:sz w:val="44"/>
          <w:szCs w:val="44"/>
        </w:rPr>
        <w:t>目   录</w:t>
      </w:r>
    </w:p>
    <w:p w14:paraId="252972F3">
      <w:pPr>
        <w:pStyle w:val="25"/>
        <w:rPr>
          <w:sz w:val="24"/>
        </w:rPr>
      </w:pPr>
      <w:r>
        <w:rPr>
          <w:sz w:val="24"/>
        </w:rPr>
        <w:fldChar w:fldCharType="begin"/>
      </w:r>
      <w:r>
        <w:rPr>
          <w:sz w:val="24"/>
        </w:rPr>
        <w:instrText xml:space="preserve"> TOC \o "1-3" \h \z \u </w:instrText>
      </w:r>
      <w:r>
        <w:rPr>
          <w:sz w:val="24"/>
        </w:rPr>
        <w:fldChar w:fldCharType="separate"/>
      </w:r>
    </w:p>
    <w:p w14:paraId="37E31F21">
      <w:pPr>
        <w:pStyle w:val="25"/>
        <w:rPr>
          <w:sz w:val="24"/>
        </w:rPr>
      </w:pPr>
      <w:r>
        <w:fldChar w:fldCharType="begin"/>
      </w:r>
      <w:r>
        <w:instrText xml:space="preserve"> HYPERLINK \l "_Toc12429954" </w:instrText>
      </w:r>
      <w:r>
        <w:fldChar w:fldCharType="separate"/>
      </w:r>
      <w:r>
        <w:rPr>
          <w:rStyle w:val="36"/>
          <w:color w:val="auto"/>
          <w:sz w:val="24"/>
        </w:rPr>
        <w:t>引言</w:t>
      </w:r>
      <w:r>
        <w:rPr>
          <w:rStyle w:val="36"/>
          <w:color w:val="auto"/>
          <w:sz w:val="24"/>
        </w:rPr>
        <w:tab/>
      </w:r>
      <w:r>
        <w:rPr>
          <w:sz w:val="24"/>
        </w:rPr>
        <w:tab/>
      </w:r>
      <w:r>
        <w:rPr>
          <w:sz w:val="24"/>
        </w:rPr>
        <w:t>I</w:t>
      </w:r>
      <w:r>
        <w:rPr>
          <w:sz w:val="24"/>
        </w:rPr>
        <w:fldChar w:fldCharType="end"/>
      </w:r>
      <w:r>
        <w:rPr>
          <w:sz w:val="24"/>
        </w:rPr>
        <w:t>I</w:t>
      </w:r>
    </w:p>
    <w:p w14:paraId="4AFE4B86">
      <w:pPr>
        <w:pStyle w:val="25"/>
        <w:rPr>
          <w:sz w:val="24"/>
        </w:rPr>
      </w:pPr>
      <w:r>
        <w:fldChar w:fldCharType="begin"/>
      </w:r>
      <w:r>
        <w:instrText xml:space="preserve"> HYPERLINK \l "_Toc12429956" </w:instrText>
      </w:r>
      <w:r>
        <w:fldChar w:fldCharType="separate"/>
      </w:r>
      <w:r>
        <w:t>1</w:t>
      </w:r>
      <w:r>
        <w:rPr>
          <w:rStyle w:val="36"/>
          <w:color w:val="auto"/>
          <w:sz w:val="24"/>
        </w:rPr>
        <w:t>范围</w:t>
      </w:r>
      <w:r>
        <w:rPr>
          <w:sz w:val="24"/>
        </w:rPr>
        <w:tab/>
      </w:r>
      <w:r>
        <w:rPr>
          <w:sz w:val="24"/>
        </w:rPr>
        <w:t xml:space="preserve">  1</w:t>
      </w:r>
      <w:r>
        <w:rPr>
          <w:sz w:val="24"/>
        </w:rPr>
        <w:fldChar w:fldCharType="end"/>
      </w:r>
    </w:p>
    <w:p w14:paraId="4F8FD252">
      <w:pPr>
        <w:pStyle w:val="25"/>
        <w:rPr>
          <w:sz w:val="24"/>
        </w:rPr>
      </w:pPr>
      <w:r>
        <w:fldChar w:fldCharType="begin"/>
      </w:r>
      <w:r>
        <w:instrText xml:space="preserve"> HYPERLINK \l "_Toc12429955" </w:instrText>
      </w:r>
      <w:r>
        <w:fldChar w:fldCharType="separate"/>
      </w:r>
      <w:r>
        <w:rPr>
          <w:rStyle w:val="36"/>
          <w:color w:val="auto"/>
          <w:sz w:val="24"/>
        </w:rPr>
        <w:t>2引用文件</w:t>
      </w:r>
      <w:r>
        <w:rPr>
          <w:sz w:val="24"/>
        </w:rPr>
        <w:tab/>
      </w:r>
      <w:r>
        <w:rPr>
          <w:sz w:val="24"/>
        </w:rPr>
        <w:t>1</w:t>
      </w:r>
      <w:r>
        <w:rPr>
          <w:sz w:val="24"/>
        </w:rPr>
        <w:fldChar w:fldCharType="end"/>
      </w:r>
    </w:p>
    <w:p w14:paraId="06C3FABE">
      <w:pPr>
        <w:pStyle w:val="25"/>
      </w:pPr>
      <w:r>
        <w:fldChar w:fldCharType="begin"/>
      </w:r>
      <w:r>
        <w:instrText xml:space="preserve"> HYPERLINK \l "_Toc12429956" </w:instrText>
      </w:r>
      <w:r>
        <w:fldChar w:fldCharType="separate"/>
      </w:r>
      <w:r>
        <w:rPr>
          <w:rStyle w:val="36"/>
          <w:color w:val="auto"/>
          <w:sz w:val="24"/>
        </w:rPr>
        <w:t>3术语与定义</w:t>
      </w:r>
      <w:r>
        <w:rPr>
          <w:sz w:val="24"/>
        </w:rPr>
        <w:tab/>
      </w:r>
      <w:r>
        <w:rPr>
          <w:sz w:val="24"/>
        </w:rPr>
        <w:t>1</w:t>
      </w:r>
      <w:r>
        <w:rPr>
          <w:sz w:val="24"/>
        </w:rPr>
        <w:fldChar w:fldCharType="end"/>
      </w:r>
    </w:p>
    <w:p w14:paraId="4DD1B35A">
      <w:pPr>
        <w:pStyle w:val="25"/>
      </w:pPr>
      <w:r>
        <w:fldChar w:fldCharType="begin"/>
      </w:r>
      <w:r>
        <w:instrText xml:space="preserve"> HYPERLINK \l "_Toc12429956" </w:instrText>
      </w:r>
      <w:r>
        <w:fldChar w:fldCharType="separate"/>
      </w:r>
      <w:r>
        <w:rPr>
          <w:rStyle w:val="36"/>
          <w:color w:val="auto"/>
          <w:sz w:val="24"/>
        </w:rPr>
        <w:t>4 概述</w:t>
      </w:r>
      <w:r>
        <w:rPr>
          <w:sz w:val="24"/>
        </w:rPr>
        <w:tab/>
      </w:r>
      <w:r>
        <w:rPr>
          <w:sz w:val="24"/>
        </w:rPr>
        <w:t>1</w:t>
      </w:r>
      <w:r>
        <w:rPr>
          <w:sz w:val="24"/>
        </w:rPr>
        <w:fldChar w:fldCharType="end"/>
      </w:r>
    </w:p>
    <w:p w14:paraId="142FAEF7">
      <w:pPr>
        <w:pStyle w:val="25"/>
      </w:pPr>
      <w:r>
        <w:fldChar w:fldCharType="begin"/>
      </w:r>
      <w:r>
        <w:instrText xml:space="preserve"> HYPERLINK \l "_Toc12429957" </w:instrText>
      </w:r>
      <w:r>
        <w:fldChar w:fldCharType="separate"/>
      </w:r>
      <w:r>
        <w:rPr>
          <w:rStyle w:val="36"/>
          <w:color w:val="auto"/>
          <w:sz w:val="24"/>
        </w:rPr>
        <w:t>5计量特性</w:t>
      </w:r>
      <w:r>
        <w:rPr>
          <w:sz w:val="24"/>
        </w:rPr>
        <w:tab/>
      </w:r>
      <w:r>
        <w:rPr>
          <w:rFonts w:hint="eastAsia"/>
          <w:sz w:val="24"/>
        </w:rPr>
        <w:t>2</w:t>
      </w:r>
      <w:r>
        <w:rPr>
          <w:rFonts w:hint="eastAsia"/>
          <w:sz w:val="24"/>
        </w:rPr>
        <w:fldChar w:fldCharType="end"/>
      </w:r>
    </w:p>
    <w:p w14:paraId="7720150B">
      <w:pPr>
        <w:pStyle w:val="15"/>
        <w:tabs>
          <w:tab w:val="right" w:leader="dot" w:pos="9174"/>
        </w:tabs>
        <w:ind w:left="0" w:leftChars="0"/>
        <w:rPr>
          <w:rStyle w:val="36"/>
          <w:color w:val="auto"/>
          <w:sz w:val="24"/>
        </w:rPr>
      </w:pPr>
      <w:r>
        <w:fldChar w:fldCharType="begin"/>
      </w:r>
      <w:r>
        <w:instrText xml:space="preserve"> HYPERLINK \l "_Toc12429958" </w:instrText>
      </w:r>
      <w:r>
        <w:fldChar w:fldCharType="separate"/>
      </w:r>
      <w:r>
        <w:rPr>
          <w:rStyle w:val="36"/>
          <w:rFonts w:hint="eastAsia"/>
          <w:color w:val="auto"/>
          <w:sz w:val="24"/>
        </w:rPr>
        <w:t xml:space="preserve">6 </w:t>
      </w:r>
      <w:r>
        <w:rPr>
          <w:rStyle w:val="36"/>
          <w:color w:val="auto"/>
          <w:sz w:val="24"/>
        </w:rPr>
        <w:t>通用技术要求</w:t>
      </w:r>
      <w:r>
        <w:rPr>
          <w:sz w:val="24"/>
        </w:rPr>
        <w:tab/>
      </w:r>
      <w:r>
        <w:rPr>
          <w:rFonts w:hint="eastAsia"/>
          <w:sz w:val="24"/>
        </w:rPr>
        <w:t>2</w:t>
      </w:r>
      <w:r>
        <w:rPr>
          <w:rFonts w:hint="eastAsia"/>
          <w:sz w:val="24"/>
        </w:rPr>
        <w:fldChar w:fldCharType="end"/>
      </w:r>
    </w:p>
    <w:p w14:paraId="2ECE0784">
      <w:pPr>
        <w:pStyle w:val="25"/>
        <w:rPr>
          <w:sz w:val="24"/>
        </w:rPr>
      </w:pPr>
      <w:r>
        <w:fldChar w:fldCharType="begin"/>
      </w:r>
      <w:r>
        <w:instrText xml:space="preserve"> HYPERLINK \l "_Toc12429959" </w:instrText>
      </w:r>
      <w:r>
        <w:fldChar w:fldCharType="separate"/>
      </w:r>
      <w:r>
        <w:rPr>
          <w:rStyle w:val="36"/>
          <w:rFonts w:hint="eastAsia"/>
          <w:color w:val="auto"/>
          <w:sz w:val="24"/>
        </w:rPr>
        <w:t>7</w:t>
      </w:r>
      <w:r>
        <w:rPr>
          <w:rStyle w:val="36"/>
          <w:color w:val="auto"/>
          <w:sz w:val="24"/>
        </w:rPr>
        <w:t xml:space="preserve"> 校准条件</w:t>
      </w:r>
      <w:r>
        <w:rPr>
          <w:sz w:val="24"/>
        </w:rPr>
        <w:tab/>
      </w:r>
      <w:r>
        <w:rPr>
          <w:sz w:val="24"/>
        </w:rPr>
        <w:t>2</w:t>
      </w:r>
      <w:r>
        <w:rPr>
          <w:sz w:val="24"/>
        </w:rPr>
        <w:fldChar w:fldCharType="end"/>
      </w:r>
    </w:p>
    <w:p w14:paraId="397E030A">
      <w:pPr>
        <w:pStyle w:val="25"/>
        <w:rPr>
          <w:sz w:val="24"/>
        </w:rPr>
      </w:pPr>
      <w:r>
        <w:fldChar w:fldCharType="begin"/>
      </w:r>
      <w:r>
        <w:instrText xml:space="preserve"> HYPERLINK \l "_Toc12429959" </w:instrText>
      </w:r>
      <w:r>
        <w:fldChar w:fldCharType="separate"/>
      </w:r>
      <w:r>
        <w:rPr>
          <w:rStyle w:val="36"/>
          <w:rFonts w:hint="eastAsia"/>
          <w:color w:val="auto"/>
          <w:sz w:val="24"/>
        </w:rPr>
        <w:t>7</w:t>
      </w:r>
      <w:r>
        <w:rPr>
          <w:rStyle w:val="36"/>
          <w:color w:val="auto"/>
          <w:sz w:val="24"/>
        </w:rPr>
        <w:t>.1环境条件</w:t>
      </w:r>
      <w:r>
        <w:rPr>
          <w:sz w:val="24"/>
        </w:rPr>
        <w:tab/>
      </w:r>
      <w:r>
        <w:rPr>
          <w:sz w:val="24"/>
        </w:rPr>
        <w:t>2</w:t>
      </w:r>
      <w:r>
        <w:rPr>
          <w:sz w:val="24"/>
        </w:rPr>
        <w:fldChar w:fldCharType="end"/>
      </w:r>
    </w:p>
    <w:p w14:paraId="6F32CF96">
      <w:pPr>
        <w:pStyle w:val="25"/>
      </w:pPr>
      <w:r>
        <w:fldChar w:fldCharType="begin"/>
      </w:r>
      <w:r>
        <w:instrText xml:space="preserve"> HYPERLINK \l "_Toc12429959" </w:instrText>
      </w:r>
      <w:r>
        <w:fldChar w:fldCharType="separate"/>
      </w:r>
      <w:r>
        <w:rPr>
          <w:rStyle w:val="36"/>
          <w:rFonts w:hint="eastAsia"/>
          <w:color w:val="auto"/>
          <w:sz w:val="24"/>
        </w:rPr>
        <w:t>7</w:t>
      </w:r>
      <w:r>
        <w:rPr>
          <w:rStyle w:val="36"/>
          <w:color w:val="auto"/>
          <w:sz w:val="24"/>
        </w:rPr>
        <w:t>.2测量标准及其他设备</w:t>
      </w:r>
      <w:r>
        <w:rPr>
          <w:sz w:val="24"/>
        </w:rPr>
        <w:tab/>
      </w:r>
      <w:r>
        <w:rPr>
          <w:sz w:val="24"/>
        </w:rPr>
        <w:t>2</w:t>
      </w:r>
      <w:r>
        <w:rPr>
          <w:sz w:val="24"/>
        </w:rPr>
        <w:fldChar w:fldCharType="end"/>
      </w:r>
    </w:p>
    <w:p w14:paraId="5CE66371">
      <w:pPr>
        <w:pStyle w:val="25"/>
        <w:rPr>
          <w:sz w:val="24"/>
        </w:rPr>
      </w:pPr>
      <w:r>
        <w:fldChar w:fldCharType="begin"/>
      </w:r>
      <w:r>
        <w:instrText xml:space="preserve"> HYPERLINK \l "_Toc12429960" </w:instrText>
      </w:r>
      <w:r>
        <w:fldChar w:fldCharType="separate"/>
      </w:r>
      <w:r>
        <w:rPr>
          <w:rStyle w:val="36"/>
          <w:rFonts w:hint="eastAsia"/>
          <w:color w:val="auto"/>
          <w:sz w:val="24"/>
        </w:rPr>
        <w:t>8</w:t>
      </w:r>
      <w:r>
        <w:rPr>
          <w:rStyle w:val="36"/>
          <w:color w:val="auto"/>
          <w:sz w:val="24"/>
        </w:rPr>
        <w:t>校准项目和校准方法</w:t>
      </w:r>
      <w:r>
        <w:rPr>
          <w:sz w:val="24"/>
        </w:rPr>
        <w:tab/>
      </w:r>
      <w:r>
        <w:rPr>
          <w:sz w:val="24"/>
        </w:rPr>
        <w:t>2</w:t>
      </w:r>
      <w:r>
        <w:rPr>
          <w:sz w:val="24"/>
        </w:rPr>
        <w:fldChar w:fldCharType="end"/>
      </w:r>
    </w:p>
    <w:p w14:paraId="0046B711">
      <w:pPr>
        <w:pStyle w:val="15"/>
        <w:tabs>
          <w:tab w:val="right" w:leader="dot" w:pos="9174"/>
        </w:tabs>
        <w:ind w:left="0" w:leftChars="0"/>
        <w:rPr>
          <w:sz w:val="24"/>
        </w:rPr>
      </w:pPr>
      <w:r>
        <w:fldChar w:fldCharType="begin"/>
      </w:r>
      <w:r>
        <w:instrText xml:space="preserve"> HYPERLINK \l "_Toc12429961" </w:instrText>
      </w:r>
      <w:r>
        <w:fldChar w:fldCharType="separate"/>
      </w:r>
      <w:r>
        <w:rPr>
          <w:rStyle w:val="36"/>
          <w:rFonts w:hint="eastAsia"/>
          <w:color w:val="auto"/>
          <w:sz w:val="24"/>
        </w:rPr>
        <w:t>8</w:t>
      </w:r>
      <w:r>
        <w:rPr>
          <w:rStyle w:val="36"/>
          <w:color w:val="auto"/>
          <w:sz w:val="24"/>
        </w:rPr>
        <w:t>.1校准项目</w:t>
      </w:r>
      <w:r>
        <w:rPr>
          <w:sz w:val="24"/>
        </w:rPr>
        <w:tab/>
      </w:r>
      <w:r>
        <w:rPr>
          <w:sz w:val="24"/>
        </w:rPr>
        <w:t>2</w:t>
      </w:r>
      <w:r>
        <w:rPr>
          <w:sz w:val="24"/>
        </w:rPr>
        <w:fldChar w:fldCharType="end"/>
      </w:r>
    </w:p>
    <w:p w14:paraId="357E4906">
      <w:pPr>
        <w:pStyle w:val="15"/>
        <w:tabs>
          <w:tab w:val="right" w:leader="dot" w:pos="9174"/>
        </w:tabs>
        <w:ind w:left="0" w:leftChars="0"/>
        <w:rPr>
          <w:sz w:val="24"/>
        </w:rPr>
      </w:pPr>
      <w:r>
        <w:fldChar w:fldCharType="begin"/>
      </w:r>
      <w:r>
        <w:instrText xml:space="preserve"> HYPERLINK \l "_Toc12429962" </w:instrText>
      </w:r>
      <w:r>
        <w:fldChar w:fldCharType="separate"/>
      </w:r>
      <w:r>
        <w:rPr>
          <w:rStyle w:val="36"/>
          <w:rFonts w:hint="eastAsia"/>
          <w:color w:val="auto"/>
          <w:sz w:val="24"/>
        </w:rPr>
        <w:t>8</w:t>
      </w:r>
      <w:r>
        <w:rPr>
          <w:rStyle w:val="36"/>
          <w:color w:val="auto"/>
          <w:sz w:val="24"/>
        </w:rPr>
        <w:t>.2校准方法</w:t>
      </w:r>
      <w:r>
        <w:rPr>
          <w:sz w:val="24"/>
        </w:rPr>
        <w:tab/>
      </w:r>
      <w:r>
        <w:rPr>
          <w:rFonts w:hint="eastAsia"/>
          <w:sz w:val="24"/>
        </w:rPr>
        <w:t>3</w:t>
      </w:r>
      <w:r>
        <w:rPr>
          <w:rFonts w:hint="eastAsia"/>
          <w:sz w:val="24"/>
        </w:rPr>
        <w:fldChar w:fldCharType="end"/>
      </w:r>
    </w:p>
    <w:p w14:paraId="4F0BB0B6">
      <w:pPr>
        <w:pStyle w:val="25"/>
        <w:rPr>
          <w:sz w:val="24"/>
        </w:rPr>
      </w:pPr>
      <w:r>
        <w:fldChar w:fldCharType="begin"/>
      </w:r>
      <w:r>
        <w:instrText xml:space="preserve"> HYPERLINK \l "_Toc12429965" </w:instrText>
      </w:r>
      <w:r>
        <w:fldChar w:fldCharType="separate"/>
      </w:r>
      <w:r>
        <w:rPr>
          <w:rStyle w:val="36"/>
          <w:rFonts w:hint="eastAsia"/>
          <w:color w:val="auto"/>
          <w:kern w:val="0"/>
          <w:sz w:val="24"/>
        </w:rPr>
        <w:t>9</w:t>
      </w:r>
      <w:r>
        <w:rPr>
          <w:rStyle w:val="36"/>
          <w:color w:val="auto"/>
          <w:kern w:val="0"/>
          <w:sz w:val="24"/>
        </w:rPr>
        <w:t xml:space="preserve"> </w:t>
      </w:r>
      <w:r>
        <w:rPr>
          <w:rStyle w:val="36"/>
          <w:color w:val="auto"/>
          <w:sz w:val="24"/>
        </w:rPr>
        <w:t>校准结果表达</w:t>
      </w:r>
      <w:r>
        <w:rPr>
          <w:sz w:val="24"/>
        </w:rPr>
        <w:tab/>
      </w:r>
      <w:r>
        <w:rPr>
          <w:rFonts w:hint="eastAsia"/>
          <w:sz w:val="24"/>
        </w:rPr>
        <w:t>5</w:t>
      </w:r>
      <w:r>
        <w:rPr>
          <w:rFonts w:hint="eastAsia"/>
          <w:sz w:val="24"/>
        </w:rPr>
        <w:fldChar w:fldCharType="end"/>
      </w:r>
    </w:p>
    <w:p w14:paraId="5E0E1091">
      <w:pPr>
        <w:pStyle w:val="25"/>
      </w:pPr>
      <w:r>
        <w:fldChar w:fldCharType="begin"/>
      </w:r>
      <w:r>
        <w:instrText xml:space="preserve"> HYPERLINK \l "_Toc12429965" </w:instrText>
      </w:r>
      <w:r>
        <w:fldChar w:fldCharType="separate"/>
      </w:r>
      <w:r>
        <w:rPr>
          <w:rStyle w:val="36"/>
          <w:rFonts w:hint="eastAsia"/>
          <w:color w:val="auto"/>
          <w:kern w:val="0"/>
          <w:sz w:val="24"/>
        </w:rPr>
        <w:t>10</w:t>
      </w:r>
      <w:r>
        <w:rPr>
          <w:rStyle w:val="36"/>
          <w:color w:val="auto"/>
          <w:kern w:val="0"/>
          <w:sz w:val="24"/>
        </w:rPr>
        <w:t xml:space="preserve"> </w:t>
      </w:r>
      <w:r>
        <w:rPr>
          <w:rStyle w:val="36"/>
          <w:color w:val="auto"/>
          <w:sz w:val="24"/>
        </w:rPr>
        <w:t>复校时间间隔</w:t>
      </w:r>
      <w:r>
        <w:rPr>
          <w:sz w:val="24"/>
        </w:rPr>
        <w:tab/>
      </w:r>
      <w:r>
        <w:rPr>
          <w:rFonts w:hint="eastAsia"/>
          <w:sz w:val="24"/>
        </w:rPr>
        <w:t>6</w:t>
      </w:r>
      <w:r>
        <w:rPr>
          <w:rFonts w:hint="eastAsia"/>
          <w:sz w:val="24"/>
        </w:rPr>
        <w:fldChar w:fldCharType="end"/>
      </w:r>
    </w:p>
    <w:p w14:paraId="4A5E7977">
      <w:pPr>
        <w:pStyle w:val="25"/>
        <w:rPr>
          <w:sz w:val="24"/>
        </w:rPr>
      </w:pPr>
      <w:r>
        <w:rPr>
          <w:rStyle w:val="36"/>
          <w:color w:val="auto"/>
          <w:sz w:val="24"/>
          <w:u w:val="none"/>
        </w:rPr>
        <w:t>附录A 电梯加速度测试仪加速度幅值</w:t>
      </w:r>
      <w:r>
        <w:fldChar w:fldCharType="begin"/>
      </w:r>
      <w:r>
        <w:instrText xml:space="preserve"> HYPERLINK \l "_Toc12429967" </w:instrText>
      </w:r>
      <w:r>
        <w:fldChar w:fldCharType="separate"/>
      </w:r>
      <w:r>
        <w:rPr>
          <w:rStyle w:val="36"/>
          <w:color w:val="auto"/>
          <w:sz w:val="24"/>
        </w:rPr>
        <w:t>校准结果不确定度评定示例</w:t>
      </w:r>
      <w:r>
        <w:rPr>
          <w:sz w:val="24"/>
        </w:rPr>
        <w:tab/>
      </w:r>
      <w:r>
        <w:rPr>
          <w:rFonts w:hint="eastAsia"/>
          <w:sz w:val="24"/>
        </w:rPr>
        <w:t>7</w:t>
      </w:r>
      <w:r>
        <w:rPr>
          <w:rFonts w:hint="eastAsia"/>
          <w:sz w:val="24"/>
        </w:rPr>
        <w:fldChar w:fldCharType="end"/>
      </w:r>
    </w:p>
    <w:p w14:paraId="2B3211FE">
      <w:pPr>
        <w:pStyle w:val="25"/>
        <w:rPr>
          <w:sz w:val="24"/>
        </w:rPr>
      </w:pPr>
      <w:r>
        <w:rPr>
          <w:rStyle w:val="36"/>
          <w:color w:val="auto"/>
          <w:sz w:val="24"/>
          <w:u w:val="none"/>
        </w:rPr>
        <w:t xml:space="preserve">附录B </w:t>
      </w:r>
      <w:r>
        <w:fldChar w:fldCharType="begin"/>
      </w:r>
      <w:r>
        <w:instrText xml:space="preserve"> HYPERLINK \l "_Toc12429969" </w:instrText>
      </w:r>
      <w:r>
        <w:fldChar w:fldCharType="separate"/>
      </w:r>
      <w:r>
        <w:rPr>
          <w:rStyle w:val="36"/>
          <w:color w:val="auto"/>
          <w:sz w:val="24"/>
          <w:u w:val="none"/>
        </w:rPr>
        <w:t>电梯加速度测试仪</w:t>
      </w:r>
      <w:r>
        <w:rPr>
          <w:rStyle w:val="36"/>
          <w:color w:val="auto"/>
          <w:sz w:val="24"/>
        </w:rPr>
        <w:t>校准原始记录格式</w:t>
      </w:r>
      <w:r>
        <w:rPr>
          <w:sz w:val="24"/>
        </w:rPr>
        <w:tab/>
      </w:r>
      <w:r>
        <w:rPr>
          <w:rFonts w:hint="eastAsia"/>
          <w:sz w:val="24"/>
        </w:rPr>
        <w:t>11</w:t>
      </w:r>
      <w:r>
        <w:rPr>
          <w:rFonts w:hint="eastAsia"/>
          <w:sz w:val="24"/>
        </w:rPr>
        <w:fldChar w:fldCharType="end"/>
      </w:r>
    </w:p>
    <w:p w14:paraId="24BDC854">
      <w:pPr>
        <w:pStyle w:val="25"/>
        <w:rPr>
          <w:sz w:val="24"/>
        </w:rPr>
      </w:pPr>
      <w:r>
        <w:rPr>
          <w:rStyle w:val="36"/>
          <w:color w:val="auto"/>
          <w:sz w:val="24"/>
          <w:u w:val="none"/>
        </w:rPr>
        <w:t xml:space="preserve">附录C </w:t>
      </w:r>
      <w:r>
        <w:fldChar w:fldCharType="begin"/>
      </w:r>
      <w:r>
        <w:instrText xml:space="preserve"> HYPERLINK \l "_Toc12429971" </w:instrText>
      </w:r>
      <w:r>
        <w:fldChar w:fldCharType="separate"/>
      </w:r>
      <w:r>
        <w:rPr>
          <w:rStyle w:val="36"/>
          <w:color w:val="auto"/>
          <w:sz w:val="24"/>
          <w:u w:val="none"/>
        </w:rPr>
        <w:t>电梯加速度测试仪</w:t>
      </w:r>
      <w:r>
        <w:rPr>
          <w:rStyle w:val="36"/>
          <w:color w:val="auto"/>
          <w:sz w:val="24"/>
        </w:rPr>
        <w:t>校准证书内页格式</w:t>
      </w:r>
      <w:r>
        <w:rPr>
          <w:sz w:val="24"/>
        </w:rPr>
        <w:tab/>
      </w:r>
      <w:r>
        <w:rPr>
          <w:rFonts w:hint="eastAsia"/>
          <w:sz w:val="24"/>
        </w:rPr>
        <w:t>12</w:t>
      </w:r>
      <w:r>
        <w:rPr>
          <w:rFonts w:hint="eastAsia"/>
          <w:sz w:val="24"/>
        </w:rPr>
        <w:fldChar w:fldCharType="end"/>
      </w:r>
    </w:p>
    <w:p w14:paraId="27895FA1">
      <w:r>
        <w:rPr>
          <w:sz w:val="24"/>
        </w:rPr>
        <w:fldChar w:fldCharType="end"/>
      </w:r>
    </w:p>
    <w:p w14:paraId="0C040E64">
      <w:pPr>
        <w:jc w:val="right"/>
      </w:pPr>
    </w:p>
    <w:p w14:paraId="34D7E899"/>
    <w:p w14:paraId="73B3A1A6"/>
    <w:p w14:paraId="6FC1364D"/>
    <w:p w14:paraId="41C478F0"/>
    <w:p w14:paraId="1C2BCA4C"/>
    <w:p w14:paraId="3CE56585"/>
    <w:p w14:paraId="6C6CC0CE"/>
    <w:p w14:paraId="283F504B"/>
    <w:p w14:paraId="0F74FDA0"/>
    <w:p w14:paraId="3605FBC4"/>
    <w:p w14:paraId="2FE07220"/>
    <w:p w14:paraId="2143845E">
      <w:pPr>
        <w:jc w:val="center"/>
        <w:rPr>
          <w:rFonts w:eastAsia="黑体"/>
          <w:sz w:val="44"/>
          <w:szCs w:val="44"/>
        </w:rPr>
      </w:pPr>
      <w:r>
        <w:rPr>
          <w:rFonts w:eastAsia="黑体"/>
          <w:sz w:val="44"/>
          <w:szCs w:val="44"/>
        </w:rPr>
        <w:t>引    言</w:t>
      </w:r>
    </w:p>
    <w:p w14:paraId="419676D0">
      <w:pPr>
        <w:pStyle w:val="45"/>
        <w:rPr>
          <w:rFonts w:ascii="Times New Roman" w:hAnsi="Times New Roman"/>
        </w:rPr>
      </w:pPr>
    </w:p>
    <w:p w14:paraId="21DCE72E">
      <w:pPr>
        <w:pStyle w:val="50"/>
        <w:numPr>
          <w:ilvl w:val="3"/>
          <w:numId w:val="0"/>
        </w:numPr>
        <w:ind w:right="-105" w:firstLine="488" w:firstLineChars="200"/>
        <w:outlineLvl w:val="9"/>
        <w:rPr>
          <w:rFonts w:ascii="Times New Roman" w:eastAsiaTheme="minorEastAsia"/>
          <w:sz w:val="24"/>
        </w:rPr>
      </w:pPr>
      <w:r>
        <w:rPr>
          <w:rFonts w:ascii="Times New Roman" w:eastAsiaTheme="minorEastAsia"/>
          <w:kern w:val="2"/>
          <w:sz w:val="24"/>
          <w:szCs w:val="24"/>
        </w:rPr>
        <w:t>本规范以JJF 1071</w:t>
      </w:r>
      <w:r>
        <w:rPr>
          <w:rFonts w:ascii="Times New Roman" w:eastAsiaTheme="minorEastAsia"/>
          <w:sz w:val="24"/>
        </w:rPr>
        <w:t>—</w:t>
      </w:r>
      <w:r>
        <w:rPr>
          <w:rFonts w:ascii="Times New Roman" w:eastAsiaTheme="minorEastAsia"/>
          <w:kern w:val="2"/>
          <w:sz w:val="24"/>
          <w:szCs w:val="24"/>
        </w:rPr>
        <w:t>2010《国家计量校准规范编写规则》、JJF 1001</w:t>
      </w:r>
      <w:r>
        <w:rPr>
          <w:rFonts w:ascii="Times New Roman" w:eastAsiaTheme="minorEastAsia"/>
          <w:sz w:val="24"/>
        </w:rPr>
        <w:t>—</w:t>
      </w:r>
      <w:r>
        <w:rPr>
          <w:rFonts w:ascii="Times New Roman" w:eastAsiaTheme="minorEastAsia"/>
          <w:kern w:val="2"/>
          <w:sz w:val="24"/>
          <w:szCs w:val="24"/>
        </w:rPr>
        <w:t>2011《通用计量术语及定义》、JJF 1059.1-2012《测量不确定度评定与表示》</w:t>
      </w:r>
      <w:r>
        <w:rPr>
          <w:rFonts w:ascii="Times New Roman" w:eastAsiaTheme="minorEastAsia"/>
          <w:sz w:val="24"/>
        </w:rPr>
        <w:t>为基础性系列规范进行制定。</w:t>
      </w:r>
    </w:p>
    <w:p w14:paraId="39D9FAF1">
      <w:pPr>
        <w:ind w:firstLine="480" w:firstLineChars="200"/>
        <w:jc w:val="left"/>
        <w:rPr>
          <w:rFonts w:eastAsiaTheme="minorEastAsia"/>
          <w:sz w:val="24"/>
        </w:rPr>
      </w:pPr>
      <w:r>
        <w:rPr>
          <w:rFonts w:eastAsiaTheme="minorEastAsia"/>
          <w:sz w:val="24"/>
        </w:rPr>
        <w:t>本规范主要参考</w:t>
      </w:r>
      <w:r>
        <w:rPr>
          <w:kern w:val="0"/>
          <w:sz w:val="24"/>
        </w:rPr>
        <w:t>GB/T 10059-2023《电梯试验方法》、GB/T 24474.1-2020《乘运质量测量 第1部分：电梯》和GB/T 23716-2009《人体对振动的响应 测量仪器》</w:t>
      </w:r>
      <w:r>
        <w:rPr>
          <w:rFonts w:eastAsiaTheme="minorEastAsia"/>
          <w:sz w:val="24"/>
        </w:rPr>
        <w:t>和</w:t>
      </w:r>
      <w:r>
        <w:rPr>
          <w:kern w:val="0"/>
          <w:sz w:val="24"/>
        </w:rPr>
        <w:t>JJG 676-2019《测振仪检定规程》</w:t>
      </w:r>
      <w:r>
        <w:rPr>
          <w:rFonts w:eastAsiaTheme="minorEastAsia"/>
          <w:sz w:val="24"/>
        </w:rPr>
        <w:t>编制而成。</w:t>
      </w:r>
    </w:p>
    <w:p w14:paraId="27C0965F">
      <w:pPr>
        <w:pStyle w:val="50"/>
        <w:numPr>
          <w:ilvl w:val="3"/>
          <w:numId w:val="0"/>
        </w:numPr>
        <w:ind w:right="-105" w:firstLine="488" w:firstLineChars="200"/>
        <w:outlineLvl w:val="9"/>
        <w:rPr>
          <w:rFonts w:ascii="Times New Roman" w:eastAsiaTheme="minorEastAsia"/>
          <w:kern w:val="2"/>
          <w:sz w:val="24"/>
          <w:szCs w:val="24"/>
        </w:rPr>
        <w:sectPr>
          <w:headerReference r:id="rId13" w:type="default"/>
          <w:footerReference r:id="rId15" w:type="default"/>
          <w:headerReference r:id="rId14" w:type="even"/>
          <w:footerReference r:id="rId16" w:type="even"/>
          <w:pgSz w:w="11906" w:h="16838"/>
          <w:pgMar w:top="1134" w:right="1361" w:bottom="1134" w:left="1361" w:header="1361" w:footer="851" w:gutter="0"/>
          <w:pgNumType w:fmt="upperRoman" w:start="1"/>
          <w:cols w:space="720" w:num="1"/>
          <w:docGrid w:type="lines" w:linePitch="393" w:charSpace="0"/>
        </w:sectPr>
      </w:pPr>
      <w:r>
        <w:rPr>
          <w:rFonts w:ascii="Times New Roman" w:eastAsiaTheme="minorEastAsia"/>
          <w:kern w:val="2"/>
          <w:sz w:val="24"/>
          <w:szCs w:val="24"/>
        </w:rPr>
        <w:t>本规范为首次发布。</w:t>
      </w:r>
    </w:p>
    <w:p w14:paraId="15EF0AC4">
      <w:pPr>
        <w:spacing w:line="720" w:lineRule="auto"/>
        <w:jc w:val="center"/>
        <w:rPr>
          <w:rFonts w:eastAsia="黑体"/>
          <w:sz w:val="32"/>
          <w:szCs w:val="32"/>
        </w:rPr>
      </w:pPr>
      <w:r>
        <w:rPr>
          <w:rFonts w:eastAsia="黑体"/>
          <w:sz w:val="32"/>
          <w:szCs w:val="32"/>
        </w:rPr>
        <w:t>电梯加速度测试仪校准规范</w:t>
      </w:r>
    </w:p>
    <w:p w14:paraId="57515A81">
      <w:pPr>
        <w:spacing w:line="480" w:lineRule="auto"/>
        <w:jc w:val="left"/>
        <w:rPr>
          <w:rFonts w:eastAsia="黑体"/>
          <w:sz w:val="24"/>
        </w:rPr>
      </w:pPr>
      <w:r>
        <w:rPr>
          <w:rFonts w:eastAsia="黑体"/>
          <w:sz w:val="24"/>
        </w:rPr>
        <w:t>1 范围</w:t>
      </w:r>
    </w:p>
    <w:p w14:paraId="436B6F71">
      <w:pPr>
        <w:ind w:firstLine="480"/>
        <w:jc w:val="left"/>
        <w:rPr>
          <w:sz w:val="24"/>
        </w:rPr>
      </w:pPr>
      <w:r>
        <w:rPr>
          <w:kern w:val="0"/>
          <w:sz w:val="24"/>
        </w:rPr>
        <w:t>本规范适用于电梯加速度测试仪</w:t>
      </w:r>
      <w:r>
        <w:rPr>
          <w:sz w:val="24"/>
        </w:rPr>
        <w:t>的校准。</w:t>
      </w:r>
    </w:p>
    <w:p w14:paraId="419FA4D1">
      <w:pPr>
        <w:spacing w:line="480" w:lineRule="auto"/>
        <w:jc w:val="left"/>
        <w:rPr>
          <w:rFonts w:eastAsia="黑体"/>
          <w:sz w:val="24"/>
        </w:rPr>
      </w:pPr>
      <w:r>
        <w:rPr>
          <w:rFonts w:eastAsia="黑体"/>
          <w:sz w:val="24"/>
        </w:rPr>
        <w:t>2 引用文件</w:t>
      </w:r>
    </w:p>
    <w:p w14:paraId="3A230C0A">
      <w:pPr>
        <w:ind w:firstLine="480" w:firstLineChars="200"/>
        <w:jc w:val="left"/>
        <w:rPr>
          <w:sz w:val="24"/>
        </w:rPr>
      </w:pPr>
      <w:r>
        <w:rPr>
          <w:sz w:val="24"/>
        </w:rPr>
        <w:t>本规范引用了下列文件：</w:t>
      </w:r>
    </w:p>
    <w:p w14:paraId="30E19DE3">
      <w:pPr>
        <w:widowControl/>
        <w:spacing w:line="360" w:lineRule="auto"/>
        <w:ind w:firstLine="465"/>
        <w:rPr>
          <w:sz w:val="24"/>
        </w:rPr>
      </w:pPr>
      <w:r>
        <w:rPr>
          <w:sz w:val="24"/>
        </w:rPr>
        <w:t>JJG 676 测振仪</w:t>
      </w:r>
    </w:p>
    <w:p w14:paraId="0E9C3A2C">
      <w:pPr>
        <w:widowControl/>
        <w:spacing w:line="360" w:lineRule="auto"/>
        <w:ind w:firstLine="465"/>
        <w:rPr>
          <w:sz w:val="24"/>
        </w:rPr>
      </w:pPr>
      <w:r>
        <w:rPr>
          <w:sz w:val="24"/>
        </w:rPr>
        <w:t>JJF 1156 振动 冲击 转速计量术语及定义</w:t>
      </w:r>
    </w:p>
    <w:p w14:paraId="41708056">
      <w:pPr>
        <w:widowControl/>
        <w:spacing w:line="360" w:lineRule="auto"/>
        <w:ind w:firstLine="465"/>
        <w:rPr>
          <w:sz w:val="24"/>
        </w:rPr>
      </w:pPr>
      <w:r>
        <w:rPr>
          <w:sz w:val="24"/>
        </w:rPr>
        <w:t>GB/T 23716-2009 人体对振动的响应 测量仪器</w:t>
      </w:r>
    </w:p>
    <w:p w14:paraId="12FA8743">
      <w:pPr>
        <w:widowControl/>
        <w:spacing w:line="360" w:lineRule="auto"/>
        <w:ind w:firstLine="465"/>
        <w:rPr>
          <w:sz w:val="24"/>
        </w:rPr>
      </w:pPr>
      <w:r>
        <w:rPr>
          <w:sz w:val="24"/>
        </w:rPr>
        <w:t>GB/T 24474.1-2020 乘运质量测量 第1部分：电梯</w:t>
      </w:r>
    </w:p>
    <w:p w14:paraId="7896A21E">
      <w:pPr>
        <w:tabs>
          <w:tab w:val="left" w:pos="3880"/>
        </w:tabs>
        <w:autoSpaceDE w:val="0"/>
        <w:autoSpaceDN w:val="0"/>
        <w:adjustRightInd w:val="0"/>
        <w:spacing w:line="360" w:lineRule="auto"/>
        <w:ind w:right="-20" w:firstLine="480" w:firstLineChars="200"/>
        <w:jc w:val="left"/>
      </w:pPr>
      <w:r>
        <w:rPr>
          <w:sz w:val="24"/>
        </w:rPr>
        <w:t>凡是注日期的引用文件，仅注日期的版本适用于本规范；凡是不注日期的引用文件，其最新版本（包括所有的修改单）适用于本规范。</w:t>
      </w:r>
    </w:p>
    <w:p w14:paraId="4596FE4D">
      <w:pPr>
        <w:spacing w:line="480" w:lineRule="auto"/>
        <w:jc w:val="left"/>
        <w:rPr>
          <w:rFonts w:eastAsia="黑体"/>
          <w:sz w:val="24"/>
        </w:rPr>
      </w:pPr>
      <w:r>
        <w:rPr>
          <w:rFonts w:eastAsia="黑体"/>
          <w:sz w:val="24"/>
        </w:rPr>
        <w:t>3  术语与定义</w:t>
      </w:r>
    </w:p>
    <w:p w14:paraId="48CA21DE">
      <w:pPr>
        <w:tabs>
          <w:tab w:val="left" w:pos="3880"/>
        </w:tabs>
        <w:autoSpaceDE w:val="0"/>
        <w:autoSpaceDN w:val="0"/>
        <w:adjustRightInd w:val="0"/>
        <w:spacing w:line="360" w:lineRule="auto"/>
        <w:ind w:right="-23"/>
        <w:jc w:val="left"/>
        <w:outlineLvl w:val="1"/>
        <w:rPr>
          <w:sz w:val="24"/>
        </w:rPr>
      </w:pPr>
      <w:r>
        <w:rPr>
          <w:sz w:val="24"/>
        </w:rPr>
        <w:t xml:space="preserve">3.1 加速度 acceleration </w:t>
      </w:r>
    </w:p>
    <w:p w14:paraId="5C918825">
      <w:pPr>
        <w:tabs>
          <w:tab w:val="left" w:pos="3880"/>
        </w:tabs>
        <w:autoSpaceDE w:val="0"/>
        <w:autoSpaceDN w:val="0"/>
        <w:adjustRightInd w:val="0"/>
        <w:spacing w:line="360" w:lineRule="auto"/>
        <w:ind w:right="-20" w:firstLine="480" w:firstLineChars="200"/>
        <w:jc w:val="left"/>
        <w:rPr>
          <w:sz w:val="24"/>
        </w:rPr>
      </w:pPr>
      <w:r>
        <w:rPr>
          <w:sz w:val="24"/>
        </w:rPr>
        <w:t>由电梯运行控制引起的速度变化率，单位为m/s</w:t>
      </w:r>
      <w:r>
        <w:rPr>
          <w:sz w:val="24"/>
          <w:vertAlign w:val="superscript"/>
        </w:rPr>
        <w:t>2</w:t>
      </w:r>
      <w:r>
        <w:rPr>
          <w:sz w:val="24"/>
        </w:rPr>
        <w:t>。</w:t>
      </w:r>
      <w:bookmarkStart w:id="2" w:name="OLE_LINK4"/>
      <w:bookmarkStart w:id="3" w:name="OLE_LINK3"/>
    </w:p>
    <w:p w14:paraId="5B7CED5A">
      <w:pPr>
        <w:tabs>
          <w:tab w:val="left" w:pos="3880"/>
        </w:tabs>
        <w:autoSpaceDE w:val="0"/>
        <w:autoSpaceDN w:val="0"/>
        <w:adjustRightInd w:val="0"/>
        <w:spacing w:line="360" w:lineRule="auto"/>
        <w:ind w:right="-20" w:firstLine="480" w:firstLineChars="200"/>
        <w:jc w:val="left"/>
        <w:rPr>
          <w:sz w:val="24"/>
        </w:rPr>
      </w:pPr>
      <w:r>
        <w:rPr>
          <w:sz w:val="24"/>
        </w:rPr>
        <w:t>[</w:t>
      </w:r>
      <w:r>
        <w:rPr>
          <w:rFonts w:hint="eastAsia"/>
          <w:sz w:val="24"/>
        </w:rPr>
        <w:t>来源：</w:t>
      </w:r>
      <w:r>
        <w:rPr>
          <w:sz w:val="24"/>
        </w:rPr>
        <w:t>GB/T 24474.1-2020，3.1]</w:t>
      </w:r>
      <w:bookmarkEnd w:id="2"/>
      <w:bookmarkEnd w:id="3"/>
    </w:p>
    <w:p w14:paraId="21EA6172">
      <w:pPr>
        <w:tabs>
          <w:tab w:val="left" w:pos="3880"/>
        </w:tabs>
        <w:autoSpaceDE w:val="0"/>
        <w:autoSpaceDN w:val="0"/>
        <w:adjustRightInd w:val="0"/>
        <w:spacing w:line="360" w:lineRule="auto"/>
        <w:ind w:right="-23"/>
        <w:jc w:val="left"/>
        <w:outlineLvl w:val="1"/>
        <w:rPr>
          <w:sz w:val="24"/>
        </w:rPr>
      </w:pPr>
      <w:r>
        <w:rPr>
          <w:sz w:val="24"/>
        </w:rPr>
        <w:t>3.2 振动 vibration</w:t>
      </w:r>
    </w:p>
    <w:p w14:paraId="51F45C4D">
      <w:pPr>
        <w:tabs>
          <w:tab w:val="left" w:pos="3880"/>
        </w:tabs>
        <w:autoSpaceDE w:val="0"/>
        <w:autoSpaceDN w:val="0"/>
        <w:adjustRightInd w:val="0"/>
        <w:spacing w:line="360" w:lineRule="auto"/>
        <w:ind w:right="-20" w:firstLine="480" w:firstLineChars="200"/>
        <w:jc w:val="left"/>
        <w:rPr>
          <w:sz w:val="24"/>
        </w:rPr>
      </w:pPr>
      <w:r>
        <w:rPr>
          <w:sz w:val="24"/>
        </w:rPr>
        <w:t>加速度值相对于电梯无振荡运行时的平均加速度或大或小交替地随时间变化的现象，单位为m/s</w:t>
      </w:r>
      <w:r>
        <w:rPr>
          <w:sz w:val="24"/>
          <w:vertAlign w:val="superscript"/>
        </w:rPr>
        <w:t>2</w:t>
      </w:r>
      <w:r>
        <w:rPr>
          <w:sz w:val="24"/>
        </w:rPr>
        <w:t>。</w:t>
      </w:r>
    </w:p>
    <w:p w14:paraId="615B9E47">
      <w:pPr>
        <w:tabs>
          <w:tab w:val="left" w:pos="3880"/>
        </w:tabs>
        <w:autoSpaceDE w:val="0"/>
        <w:autoSpaceDN w:val="0"/>
        <w:adjustRightInd w:val="0"/>
        <w:spacing w:line="360" w:lineRule="auto"/>
        <w:ind w:right="-20" w:firstLine="480" w:firstLineChars="200"/>
        <w:jc w:val="left"/>
        <w:rPr>
          <w:sz w:val="24"/>
        </w:rPr>
      </w:pPr>
      <w:r>
        <w:rPr>
          <w:sz w:val="24"/>
        </w:rPr>
        <w:t>[</w:t>
      </w:r>
      <w:r>
        <w:rPr>
          <w:rFonts w:hint="eastAsia"/>
          <w:sz w:val="24"/>
        </w:rPr>
        <w:t>来源：</w:t>
      </w:r>
      <w:r>
        <w:rPr>
          <w:sz w:val="24"/>
        </w:rPr>
        <w:t>GB/T 24474.1-2020，3.2]</w:t>
      </w:r>
    </w:p>
    <w:p w14:paraId="6225A291">
      <w:pPr>
        <w:spacing w:line="480" w:lineRule="auto"/>
        <w:jc w:val="left"/>
        <w:rPr>
          <w:rFonts w:eastAsia="黑体"/>
          <w:sz w:val="24"/>
        </w:rPr>
      </w:pPr>
      <w:r>
        <w:rPr>
          <w:rFonts w:eastAsia="黑体"/>
          <w:sz w:val="24"/>
        </w:rPr>
        <w:t>4 概述</w:t>
      </w:r>
    </w:p>
    <w:p w14:paraId="576265BC">
      <w:pPr>
        <w:tabs>
          <w:tab w:val="left" w:pos="3880"/>
        </w:tabs>
        <w:autoSpaceDE w:val="0"/>
        <w:autoSpaceDN w:val="0"/>
        <w:adjustRightInd w:val="0"/>
        <w:spacing w:line="360" w:lineRule="auto"/>
        <w:ind w:right="-20" w:firstLine="480" w:firstLineChars="200"/>
        <w:jc w:val="left"/>
        <w:rPr>
          <w:sz w:val="24"/>
        </w:rPr>
      </w:pPr>
      <w:r>
        <w:rPr>
          <w:sz w:val="24"/>
        </w:rPr>
        <w:t>电梯加速度测试仪是用于测量电梯的水平振动、垂直振动的仪器，它通过振动传感器感应测量对象的振动信号，然后进行转换放大、微分、积分等处理，得到振动的加速度、速度、位移和频率等量值。电梯加速度测试仪主要由加速度传感器、分析系统和数据采集系统组成。</w:t>
      </w:r>
    </w:p>
    <w:p w14:paraId="7CBA33A5">
      <w:pPr>
        <w:spacing w:line="480" w:lineRule="auto"/>
        <w:rPr>
          <w:rFonts w:eastAsia="黑体"/>
          <w:sz w:val="24"/>
        </w:rPr>
      </w:pPr>
      <w:r>
        <w:rPr>
          <w:rFonts w:eastAsia="黑体"/>
          <w:sz w:val="24"/>
        </w:rPr>
        <w:t>5 计量特性</w:t>
      </w:r>
    </w:p>
    <w:p w14:paraId="2E05841C">
      <w:pPr>
        <w:snapToGrid w:val="0"/>
        <w:spacing w:line="460" w:lineRule="exact"/>
        <w:outlineLvl w:val="1"/>
        <w:rPr>
          <w:sz w:val="24"/>
        </w:rPr>
      </w:pPr>
      <w:r>
        <w:rPr>
          <w:sz w:val="24"/>
        </w:rPr>
        <w:t>5.1加速度频率响应：最大允许误差不超过±6%。</w:t>
      </w:r>
    </w:p>
    <w:p w14:paraId="07065705">
      <w:pPr>
        <w:snapToGrid w:val="0"/>
        <w:spacing w:line="460" w:lineRule="exact"/>
        <w:outlineLvl w:val="1"/>
        <w:rPr>
          <w:sz w:val="24"/>
        </w:rPr>
      </w:pPr>
      <w:r>
        <w:rPr>
          <w:sz w:val="24"/>
        </w:rPr>
        <w:t>5.2加速度幅值线性度：最大允许误差不超过±6%。</w:t>
      </w:r>
    </w:p>
    <w:p w14:paraId="276B4496">
      <w:pPr>
        <w:snapToGrid w:val="0"/>
        <w:spacing w:line="460" w:lineRule="exact"/>
        <w:outlineLvl w:val="1"/>
        <w:rPr>
          <w:sz w:val="24"/>
        </w:rPr>
      </w:pPr>
      <w:r>
        <w:rPr>
          <w:sz w:val="24"/>
        </w:rPr>
        <w:t>注：以上指标不用于合格性判定，本规范给出的计量特性要求仅供参考。</w:t>
      </w:r>
    </w:p>
    <w:p w14:paraId="18C2C7B1">
      <w:pPr>
        <w:spacing w:line="480" w:lineRule="auto"/>
        <w:rPr>
          <w:rFonts w:eastAsia="黑体"/>
          <w:sz w:val="24"/>
        </w:rPr>
      </w:pPr>
      <w:r>
        <w:rPr>
          <w:rFonts w:eastAsia="黑体"/>
          <w:sz w:val="24"/>
        </w:rPr>
        <w:t>6 通用技术要求</w:t>
      </w:r>
    </w:p>
    <w:p w14:paraId="359F04F1">
      <w:pPr>
        <w:snapToGrid w:val="0"/>
        <w:spacing w:line="460" w:lineRule="exact"/>
        <w:outlineLvl w:val="1"/>
        <w:rPr>
          <w:sz w:val="24"/>
        </w:rPr>
      </w:pPr>
      <w:r>
        <w:rPr>
          <w:sz w:val="24"/>
        </w:rPr>
        <w:t>6.1 电梯加速度测试仪应</w:t>
      </w:r>
      <w:r>
        <w:rPr>
          <w:rFonts w:hint="eastAsia"/>
          <w:sz w:val="24"/>
        </w:rPr>
        <w:t>有铭牌，铭牌上</w:t>
      </w:r>
      <w:r>
        <w:rPr>
          <w:sz w:val="24"/>
        </w:rPr>
        <w:t>标</w:t>
      </w:r>
      <w:r>
        <w:rPr>
          <w:rFonts w:hint="eastAsia"/>
          <w:sz w:val="24"/>
        </w:rPr>
        <w:t>明</w:t>
      </w:r>
      <w:r>
        <w:rPr>
          <w:sz w:val="24"/>
        </w:rPr>
        <w:t>清晰的名称、型号、出厂编号和制造厂。</w:t>
      </w:r>
    </w:p>
    <w:p w14:paraId="6D04837B">
      <w:pPr>
        <w:snapToGrid w:val="0"/>
        <w:spacing w:line="460" w:lineRule="exact"/>
        <w:outlineLvl w:val="1"/>
        <w:rPr>
          <w:sz w:val="24"/>
        </w:rPr>
      </w:pPr>
      <w:r>
        <w:rPr>
          <w:sz w:val="24"/>
        </w:rPr>
        <w:t>6.2 电梯加速度测试仪显示正常，加速度分辨力优于0.005 m/s</w:t>
      </w:r>
      <w:r>
        <w:rPr>
          <w:sz w:val="24"/>
          <w:vertAlign w:val="superscript"/>
        </w:rPr>
        <w:t>2</w:t>
      </w:r>
      <w:r>
        <w:rPr>
          <w:sz w:val="24"/>
        </w:rPr>
        <w:t>。</w:t>
      </w:r>
    </w:p>
    <w:p w14:paraId="4D98EFCD">
      <w:pPr>
        <w:snapToGrid w:val="0"/>
        <w:spacing w:line="460" w:lineRule="exact"/>
        <w:outlineLvl w:val="1"/>
        <w:rPr>
          <w:sz w:val="24"/>
        </w:rPr>
      </w:pPr>
      <w:r>
        <w:rPr>
          <w:sz w:val="24"/>
        </w:rPr>
        <w:t>6.3电梯加速度测试仪外观应无明显划痕、变形等影响使用的外观缺陷，表面涂层应均匀、无剥落。</w:t>
      </w:r>
    </w:p>
    <w:p w14:paraId="74BF27D2">
      <w:pPr>
        <w:autoSpaceDE w:val="0"/>
        <w:autoSpaceDN w:val="0"/>
        <w:adjustRightInd w:val="0"/>
        <w:spacing w:line="480" w:lineRule="auto"/>
        <w:jc w:val="left"/>
        <w:rPr>
          <w:rFonts w:eastAsia="黑体"/>
          <w:sz w:val="24"/>
        </w:rPr>
      </w:pPr>
      <w:r>
        <w:rPr>
          <w:rFonts w:eastAsia="黑体"/>
          <w:sz w:val="24"/>
        </w:rPr>
        <w:t>7 校准条件</w:t>
      </w:r>
    </w:p>
    <w:p w14:paraId="3A14CC49">
      <w:pPr>
        <w:autoSpaceDE w:val="0"/>
        <w:autoSpaceDN w:val="0"/>
        <w:adjustRightInd w:val="0"/>
        <w:jc w:val="left"/>
        <w:rPr>
          <w:sz w:val="24"/>
        </w:rPr>
      </w:pPr>
      <w:r>
        <w:rPr>
          <w:sz w:val="24"/>
        </w:rPr>
        <w:t>7.1 环境条件</w:t>
      </w:r>
    </w:p>
    <w:p w14:paraId="2A1E6C76">
      <w:pPr>
        <w:autoSpaceDE w:val="0"/>
        <w:autoSpaceDN w:val="0"/>
        <w:adjustRightInd w:val="0"/>
        <w:ind w:firstLine="480" w:firstLineChars="200"/>
        <w:jc w:val="left"/>
        <w:rPr>
          <w:sz w:val="24"/>
        </w:rPr>
      </w:pPr>
      <w:r>
        <w:rPr>
          <w:sz w:val="24"/>
        </w:rPr>
        <w:t>电梯加速度测试仪应在室</w:t>
      </w:r>
      <w:r>
        <w:rPr>
          <w:rFonts w:hint="eastAsia"/>
          <w:sz w:val="24"/>
        </w:rPr>
        <w:t>温</w:t>
      </w:r>
      <w:r>
        <w:rPr>
          <w:sz w:val="24"/>
        </w:rPr>
        <w:t>为（18~28）℃，</w:t>
      </w:r>
      <w:r>
        <w:rPr>
          <w:rFonts w:hint="eastAsia"/>
          <w:sz w:val="24"/>
        </w:rPr>
        <w:t>相对</w:t>
      </w:r>
      <w:r>
        <w:rPr>
          <w:sz w:val="24"/>
        </w:rPr>
        <w:t>湿度不超过75%的条件下校准</w:t>
      </w:r>
      <w:r>
        <w:rPr>
          <w:rFonts w:hint="eastAsia"/>
          <w:sz w:val="24"/>
        </w:rPr>
        <w:t>。校准时，</w:t>
      </w:r>
      <w:r>
        <w:rPr>
          <w:sz w:val="24"/>
        </w:rPr>
        <w:t>周围</w:t>
      </w:r>
      <w:r>
        <w:rPr>
          <w:rFonts w:hint="eastAsia"/>
          <w:sz w:val="24"/>
        </w:rPr>
        <w:t>应</w:t>
      </w:r>
      <w:r>
        <w:rPr>
          <w:sz w:val="24"/>
        </w:rPr>
        <w:t>无</w:t>
      </w:r>
      <w:r>
        <w:rPr>
          <w:rFonts w:hint="eastAsia"/>
          <w:sz w:val="24"/>
        </w:rPr>
        <w:t>影响校准结果的振动、冲击、电磁场以及其他干扰源</w:t>
      </w:r>
      <w:r>
        <w:rPr>
          <w:sz w:val="24"/>
        </w:rPr>
        <w:t>。</w:t>
      </w:r>
    </w:p>
    <w:p w14:paraId="1B676921">
      <w:pPr>
        <w:autoSpaceDE w:val="0"/>
        <w:autoSpaceDN w:val="0"/>
        <w:adjustRightInd w:val="0"/>
        <w:jc w:val="left"/>
        <w:rPr>
          <w:sz w:val="24"/>
        </w:rPr>
      </w:pPr>
      <w:r>
        <w:rPr>
          <w:sz w:val="24"/>
        </w:rPr>
        <w:t>7.2 测量标准及其他设备</w:t>
      </w:r>
    </w:p>
    <w:p w14:paraId="0AA56130">
      <w:pPr>
        <w:autoSpaceDE w:val="0"/>
        <w:autoSpaceDN w:val="0"/>
        <w:adjustRightInd w:val="0"/>
        <w:jc w:val="center"/>
        <w:rPr>
          <w:rFonts w:eastAsia="黑体"/>
          <w:szCs w:val="21"/>
        </w:rPr>
      </w:pPr>
      <w:r>
        <w:rPr>
          <w:rFonts w:eastAsia="黑体"/>
          <w:szCs w:val="21"/>
        </w:rPr>
        <w:t>表 1  测量标准及其他设备一览表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526"/>
        <w:gridCol w:w="4569"/>
      </w:tblGrid>
      <w:tr w14:paraId="7893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525223B1">
            <w:pPr>
              <w:autoSpaceDE w:val="0"/>
              <w:autoSpaceDN w:val="0"/>
              <w:adjustRightInd w:val="0"/>
              <w:jc w:val="center"/>
              <w:rPr>
                <w:szCs w:val="21"/>
              </w:rPr>
            </w:pPr>
            <w:r>
              <w:rPr>
                <w:szCs w:val="21"/>
              </w:rPr>
              <w:t>序号</w:t>
            </w:r>
          </w:p>
        </w:tc>
        <w:tc>
          <w:tcPr>
            <w:tcW w:w="0" w:type="auto"/>
            <w:noWrap/>
            <w:vAlign w:val="center"/>
          </w:tcPr>
          <w:p w14:paraId="12F00F88">
            <w:pPr>
              <w:autoSpaceDE w:val="0"/>
              <w:autoSpaceDN w:val="0"/>
              <w:adjustRightInd w:val="0"/>
              <w:jc w:val="center"/>
              <w:rPr>
                <w:szCs w:val="21"/>
              </w:rPr>
            </w:pPr>
            <w:r>
              <w:rPr>
                <w:szCs w:val="21"/>
              </w:rPr>
              <w:t>测量标准及其他设备</w:t>
            </w:r>
          </w:p>
        </w:tc>
        <w:tc>
          <w:tcPr>
            <w:tcW w:w="0" w:type="auto"/>
            <w:noWrap/>
            <w:vAlign w:val="center"/>
          </w:tcPr>
          <w:p w14:paraId="5A19AA5E">
            <w:pPr>
              <w:autoSpaceDE w:val="0"/>
              <w:autoSpaceDN w:val="0"/>
              <w:adjustRightInd w:val="0"/>
              <w:jc w:val="center"/>
              <w:rPr>
                <w:szCs w:val="21"/>
              </w:rPr>
            </w:pPr>
            <w:r>
              <w:rPr>
                <w:szCs w:val="21"/>
              </w:rPr>
              <w:t>技术要求</w:t>
            </w:r>
          </w:p>
        </w:tc>
      </w:tr>
      <w:tr w14:paraId="70CC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0F93B317">
            <w:pPr>
              <w:autoSpaceDE w:val="0"/>
              <w:autoSpaceDN w:val="0"/>
              <w:adjustRightInd w:val="0"/>
              <w:jc w:val="center"/>
              <w:rPr>
                <w:szCs w:val="21"/>
              </w:rPr>
            </w:pPr>
            <w:r>
              <w:rPr>
                <w:szCs w:val="21"/>
              </w:rPr>
              <w:t>1</w:t>
            </w:r>
          </w:p>
        </w:tc>
        <w:tc>
          <w:tcPr>
            <w:tcW w:w="0" w:type="auto"/>
            <w:noWrap/>
            <w:vAlign w:val="center"/>
          </w:tcPr>
          <w:p w14:paraId="39437F05">
            <w:pPr>
              <w:autoSpaceDE w:val="0"/>
              <w:autoSpaceDN w:val="0"/>
              <w:adjustRightInd w:val="0"/>
              <w:jc w:val="center"/>
              <w:rPr>
                <w:szCs w:val="21"/>
              </w:rPr>
            </w:pPr>
            <w:r>
              <w:rPr>
                <w:szCs w:val="21"/>
              </w:rPr>
              <w:t>标准加速度计套组</w:t>
            </w:r>
          </w:p>
        </w:tc>
        <w:tc>
          <w:tcPr>
            <w:tcW w:w="0" w:type="auto"/>
            <w:noWrap/>
            <w:vAlign w:val="center"/>
          </w:tcPr>
          <w:p w14:paraId="4D9830F3">
            <w:pPr>
              <w:autoSpaceDE w:val="0"/>
              <w:autoSpaceDN w:val="0"/>
              <w:adjustRightInd w:val="0"/>
              <w:jc w:val="center"/>
              <w:rPr>
                <w:szCs w:val="21"/>
              </w:rPr>
            </w:pPr>
            <w:r>
              <w:rPr>
                <w:szCs w:val="21"/>
              </w:rPr>
              <w:t>参考灵敏度幅值不确定度</w:t>
            </w:r>
            <w:r>
              <w:rPr>
                <w:i/>
                <w:szCs w:val="21"/>
              </w:rPr>
              <w:t>U</w:t>
            </w:r>
            <w:r>
              <w:rPr>
                <w:szCs w:val="21"/>
                <w:vertAlign w:val="subscript"/>
              </w:rPr>
              <w:t>rel</w:t>
            </w:r>
            <w:r>
              <w:rPr>
                <w:szCs w:val="21"/>
              </w:rPr>
              <w:t>=1% (</w:t>
            </w:r>
            <w:r>
              <w:rPr>
                <w:i/>
                <w:szCs w:val="21"/>
              </w:rPr>
              <w:t>k</w:t>
            </w:r>
            <w:r>
              <w:rPr>
                <w:szCs w:val="21"/>
              </w:rPr>
              <w:t>=2)</w:t>
            </w:r>
          </w:p>
          <w:p w14:paraId="79C78F0D">
            <w:pPr>
              <w:autoSpaceDE w:val="0"/>
              <w:autoSpaceDN w:val="0"/>
              <w:adjustRightInd w:val="0"/>
              <w:jc w:val="center"/>
              <w:rPr>
                <w:szCs w:val="21"/>
              </w:rPr>
            </w:pPr>
            <w:r>
              <w:rPr>
                <w:szCs w:val="21"/>
              </w:rPr>
              <w:t>参考灵敏度幅值频率响应不确定度</w:t>
            </w:r>
            <w:r>
              <w:rPr>
                <w:i/>
                <w:szCs w:val="21"/>
              </w:rPr>
              <w:t>U</w:t>
            </w:r>
            <w:r>
              <w:rPr>
                <w:szCs w:val="21"/>
                <w:vertAlign w:val="subscript"/>
              </w:rPr>
              <w:t>rel</w:t>
            </w:r>
            <w:r>
              <w:rPr>
                <w:szCs w:val="21"/>
              </w:rPr>
              <w:t>=1% (</w:t>
            </w:r>
            <w:r>
              <w:rPr>
                <w:i/>
                <w:szCs w:val="21"/>
              </w:rPr>
              <w:t>k</w:t>
            </w:r>
            <w:r>
              <w:rPr>
                <w:szCs w:val="21"/>
              </w:rPr>
              <w:t>=2)</w:t>
            </w:r>
          </w:p>
        </w:tc>
      </w:tr>
      <w:tr w14:paraId="2FFF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03DDF25A">
            <w:pPr>
              <w:autoSpaceDE w:val="0"/>
              <w:autoSpaceDN w:val="0"/>
              <w:adjustRightInd w:val="0"/>
              <w:jc w:val="center"/>
              <w:rPr>
                <w:szCs w:val="21"/>
              </w:rPr>
            </w:pPr>
            <w:r>
              <w:rPr>
                <w:szCs w:val="21"/>
              </w:rPr>
              <w:t>2</w:t>
            </w:r>
          </w:p>
        </w:tc>
        <w:tc>
          <w:tcPr>
            <w:tcW w:w="0" w:type="auto"/>
            <w:noWrap/>
            <w:vAlign w:val="center"/>
          </w:tcPr>
          <w:p w14:paraId="37129744">
            <w:pPr>
              <w:autoSpaceDE w:val="0"/>
              <w:autoSpaceDN w:val="0"/>
              <w:adjustRightInd w:val="0"/>
              <w:jc w:val="center"/>
              <w:rPr>
                <w:szCs w:val="21"/>
              </w:rPr>
            </w:pPr>
            <w:r>
              <w:rPr>
                <w:szCs w:val="21"/>
              </w:rPr>
              <w:t>标准振动台</w:t>
            </w:r>
          </w:p>
        </w:tc>
        <w:tc>
          <w:tcPr>
            <w:tcW w:w="0" w:type="auto"/>
            <w:noWrap/>
            <w:vAlign w:val="center"/>
          </w:tcPr>
          <w:p w14:paraId="6543C1CC">
            <w:pPr>
              <w:autoSpaceDE w:val="0"/>
              <w:autoSpaceDN w:val="0"/>
              <w:adjustRightInd w:val="0"/>
              <w:jc w:val="center"/>
              <w:rPr>
                <w:szCs w:val="21"/>
              </w:rPr>
            </w:pPr>
            <w:r>
              <w:rPr>
                <w:szCs w:val="21"/>
              </w:rPr>
              <w:t>加速度谐波失真度≤10%；横向振动比≤10%；</w:t>
            </w:r>
          </w:p>
          <w:p w14:paraId="68AAA53A">
            <w:pPr>
              <w:autoSpaceDE w:val="0"/>
              <w:autoSpaceDN w:val="0"/>
              <w:adjustRightInd w:val="0"/>
              <w:jc w:val="center"/>
              <w:rPr>
                <w:szCs w:val="21"/>
              </w:rPr>
            </w:pPr>
            <w:r>
              <w:rPr>
                <w:szCs w:val="21"/>
              </w:rPr>
              <w:t>参考点频率稳定性≤0.1%；加速度稳定性≤0.3%</w:t>
            </w:r>
          </w:p>
        </w:tc>
      </w:tr>
      <w:tr w14:paraId="0F71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19D6E0FB">
            <w:pPr>
              <w:autoSpaceDE w:val="0"/>
              <w:autoSpaceDN w:val="0"/>
              <w:adjustRightInd w:val="0"/>
              <w:jc w:val="center"/>
              <w:rPr>
                <w:szCs w:val="21"/>
              </w:rPr>
            </w:pPr>
            <w:r>
              <w:rPr>
                <w:szCs w:val="21"/>
              </w:rPr>
              <w:t>3</w:t>
            </w:r>
          </w:p>
        </w:tc>
        <w:tc>
          <w:tcPr>
            <w:tcW w:w="0" w:type="auto"/>
            <w:noWrap/>
            <w:vAlign w:val="center"/>
          </w:tcPr>
          <w:p w14:paraId="6564DA9C">
            <w:pPr>
              <w:autoSpaceDE w:val="0"/>
              <w:autoSpaceDN w:val="0"/>
              <w:adjustRightInd w:val="0"/>
              <w:jc w:val="center"/>
              <w:rPr>
                <w:szCs w:val="21"/>
              </w:rPr>
            </w:pPr>
            <w:r>
              <w:rPr>
                <w:szCs w:val="21"/>
              </w:rPr>
              <w:t>数字电压表</w:t>
            </w:r>
          </w:p>
        </w:tc>
        <w:tc>
          <w:tcPr>
            <w:tcW w:w="0" w:type="auto"/>
            <w:noWrap/>
            <w:vAlign w:val="center"/>
          </w:tcPr>
          <w:p w14:paraId="078E94A2">
            <w:pPr>
              <w:autoSpaceDE w:val="0"/>
              <w:autoSpaceDN w:val="0"/>
              <w:adjustRightInd w:val="0"/>
              <w:jc w:val="center"/>
              <w:rPr>
                <w:szCs w:val="21"/>
              </w:rPr>
            </w:pPr>
            <w:r>
              <w:rPr>
                <w:szCs w:val="21"/>
              </w:rPr>
              <w:t>交流电压最大允许误差：±0.2%</w:t>
            </w:r>
          </w:p>
        </w:tc>
      </w:tr>
      <w:tr w14:paraId="4BAC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6677F848">
            <w:pPr>
              <w:autoSpaceDE w:val="0"/>
              <w:autoSpaceDN w:val="0"/>
              <w:adjustRightInd w:val="0"/>
              <w:jc w:val="center"/>
              <w:rPr>
                <w:szCs w:val="21"/>
              </w:rPr>
            </w:pPr>
            <w:r>
              <w:rPr>
                <w:szCs w:val="21"/>
              </w:rPr>
              <w:t>4</w:t>
            </w:r>
          </w:p>
        </w:tc>
        <w:tc>
          <w:tcPr>
            <w:tcW w:w="0" w:type="auto"/>
            <w:noWrap/>
            <w:vAlign w:val="center"/>
          </w:tcPr>
          <w:p w14:paraId="63F9562D">
            <w:pPr>
              <w:autoSpaceDE w:val="0"/>
              <w:autoSpaceDN w:val="0"/>
              <w:adjustRightInd w:val="0"/>
              <w:jc w:val="center"/>
              <w:rPr>
                <w:szCs w:val="21"/>
              </w:rPr>
            </w:pPr>
            <w:r>
              <w:rPr>
                <w:szCs w:val="21"/>
              </w:rPr>
              <w:t>频率计</w:t>
            </w:r>
          </w:p>
        </w:tc>
        <w:tc>
          <w:tcPr>
            <w:tcW w:w="0" w:type="auto"/>
            <w:noWrap/>
            <w:vAlign w:val="center"/>
          </w:tcPr>
          <w:p w14:paraId="14A89D46">
            <w:pPr>
              <w:autoSpaceDE w:val="0"/>
              <w:autoSpaceDN w:val="0"/>
              <w:adjustRightInd w:val="0"/>
              <w:jc w:val="center"/>
              <w:rPr>
                <w:szCs w:val="21"/>
              </w:rPr>
            </w:pPr>
            <w:r>
              <w:rPr>
                <w:szCs w:val="21"/>
              </w:rPr>
              <w:t>频率示值误差：±0.01%</w:t>
            </w:r>
          </w:p>
        </w:tc>
      </w:tr>
      <w:tr w14:paraId="7CD0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701A13E5">
            <w:pPr>
              <w:autoSpaceDE w:val="0"/>
              <w:autoSpaceDN w:val="0"/>
              <w:adjustRightInd w:val="0"/>
              <w:jc w:val="center"/>
              <w:rPr>
                <w:szCs w:val="21"/>
              </w:rPr>
            </w:pPr>
            <w:r>
              <w:rPr>
                <w:szCs w:val="21"/>
              </w:rPr>
              <w:t>5</w:t>
            </w:r>
          </w:p>
        </w:tc>
        <w:tc>
          <w:tcPr>
            <w:tcW w:w="0" w:type="auto"/>
            <w:noWrap/>
            <w:vAlign w:val="center"/>
          </w:tcPr>
          <w:p w14:paraId="7371B5CF">
            <w:pPr>
              <w:autoSpaceDE w:val="0"/>
              <w:autoSpaceDN w:val="0"/>
              <w:adjustRightInd w:val="0"/>
              <w:jc w:val="left"/>
              <w:rPr>
                <w:szCs w:val="21"/>
              </w:rPr>
            </w:pPr>
            <w:r>
              <w:rPr>
                <w:szCs w:val="21"/>
              </w:rPr>
              <w:t>动态信号分析仪（可选）</w:t>
            </w:r>
          </w:p>
        </w:tc>
        <w:tc>
          <w:tcPr>
            <w:tcW w:w="0" w:type="auto"/>
            <w:noWrap/>
            <w:vAlign w:val="center"/>
          </w:tcPr>
          <w:p w14:paraId="088051F4">
            <w:pPr>
              <w:autoSpaceDE w:val="0"/>
              <w:autoSpaceDN w:val="0"/>
              <w:adjustRightInd w:val="0"/>
              <w:jc w:val="center"/>
              <w:rPr>
                <w:szCs w:val="21"/>
              </w:rPr>
            </w:pPr>
            <w:r>
              <w:rPr>
                <w:szCs w:val="21"/>
              </w:rPr>
              <w:t>A级</w:t>
            </w:r>
          </w:p>
        </w:tc>
      </w:tr>
    </w:tbl>
    <w:p w14:paraId="61EF8AD4">
      <w:pPr>
        <w:autoSpaceDE w:val="0"/>
        <w:autoSpaceDN w:val="0"/>
        <w:adjustRightInd w:val="0"/>
        <w:spacing w:line="480" w:lineRule="auto"/>
        <w:jc w:val="left"/>
        <w:rPr>
          <w:rFonts w:eastAsia="黑体"/>
          <w:sz w:val="24"/>
        </w:rPr>
      </w:pPr>
      <w:r>
        <w:rPr>
          <w:rFonts w:eastAsia="黑体"/>
          <w:sz w:val="24"/>
        </w:rPr>
        <w:t>8 校准项目和校准方法</w:t>
      </w:r>
    </w:p>
    <w:p w14:paraId="4A5DFDF5">
      <w:pPr>
        <w:autoSpaceDE w:val="0"/>
        <w:autoSpaceDN w:val="0"/>
        <w:adjustRightInd w:val="0"/>
        <w:jc w:val="left"/>
        <w:rPr>
          <w:sz w:val="24"/>
        </w:rPr>
      </w:pPr>
      <w:r>
        <w:rPr>
          <w:sz w:val="24"/>
        </w:rPr>
        <w:t>8.1 校准项目</w:t>
      </w:r>
    </w:p>
    <w:p w14:paraId="2C9F6015">
      <w:pPr>
        <w:autoSpaceDE w:val="0"/>
        <w:autoSpaceDN w:val="0"/>
        <w:adjustRightInd w:val="0"/>
        <w:ind w:firstLine="480" w:firstLineChars="200"/>
        <w:jc w:val="left"/>
        <w:rPr>
          <w:sz w:val="24"/>
        </w:rPr>
      </w:pPr>
      <w:r>
        <w:rPr>
          <w:sz w:val="24"/>
        </w:rPr>
        <w:t>校准项目见表</w:t>
      </w:r>
      <w:r>
        <w:rPr>
          <w:rFonts w:hint="eastAsia"/>
          <w:sz w:val="24"/>
        </w:rPr>
        <w:t>2</w:t>
      </w:r>
      <w:r>
        <w:rPr>
          <w:sz w:val="24"/>
        </w:rPr>
        <w:t>。</w:t>
      </w:r>
    </w:p>
    <w:p w14:paraId="69696BC0">
      <w:pPr>
        <w:autoSpaceDE w:val="0"/>
        <w:autoSpaceDN w:val="0"/>
        <w:adjustRightInd w:val="0"/>
        <w:jc w:val="center"/>
        <w:rPr>
          <w:rFonts w:eastAsia="黑体"/>
          <w:szCs w:val="21"/>
        </w:rPr>
      </w:pPr>
      <w:bookmarkStart w:id="4" w:name="OLE_LINK9"/>
      <w:r>
        <w:rPr>
          <w:rFonts w:eastAsia="黑体"/>
          <w:szCs w:val="21"/>
        </w:rPr>
        <w:t>表 2  电梯加速度测试仪校准项目一览表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136"/>
        <w:gridCol w:w="1476"/>
        <w:gridCol w:w="1476"/>
      </w:tblGrid>
      <w:tr w14:paraId="4A21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07F3F9BD">
            <w:pPr>
              <w:autoSpaceDE w:val="0"/>
              <w:autoSpaceDN w:val="0"/>
              <w:adjustRightInd w:val="0"/>
              <w:jc w:val="center"/>
              <w:rPr>
                <w:szCs w:val="21"/>
              </w:rPr>
            </w:pPr>
            <w:r>
              <w:rPr>
                <w:szCs w:val="21"/>
              </w:rPr>
              <w:t>序号</w:t>
            </w:r>
          </w:p>
        </w:tc>
        <w:tc>
          <w:tcPr>
            <w:tcW w:w="0" w:type="auto"/>
            <w:noWrap/>
            <w:vAlign w:val="center"/>
          </w:tcPr>
          <w:p w14:paraId="0F7FD138">
            <w:pPr>
              <w:autoSpaceDE w:val="0"/>
              <w:autoSpaceDN w:val="0"/>
              <w:adjustRightInd w:val="0"/>
              <w:jc w:val="center"/>
              <w:rPr>
                <w:szCs w:val="21"/>
              </w:rPr>
            </w:pPr>
            <w:r>
              <w:rPr>
                <w:szCs w:val="21"/>
              </w:rPr>
              <w:t>项目名称</w:t>
            </w:r>
          </w:p>
        </w:tc>
        <w:tc>
          <w:tcPr>
            <w:tcW w:w="0" w:type="auto"/>
            <w:noWrap/>
            <w:vAlign w:val="center"/>
          </w:tcPr>
          <w:p w14:paraId="4C34E8A3">
            <w:pPr>
              <w:autoSpaceDE w:val="0"/>
              <w:autoSpaceDN w:val="0"/>
              <w:adjustRightInd w:val="0"/>
              <w:jc w:val="center"/>
              <w:rPr>
                <w:szCs w:val="21"/>
              </w:rPr>
            </w:pPr>
            <w:r>
              <w:rPr>
                <w:szCs w:val="21"/>
              </w:rPr>
              <w:t>计量特性条款</w:t>
            </w:r>
          </w:p>
        </w:tc>
        <w:tc>
          <w:tcPr>
            <w:tcW w:w="0" w:type="auto"/>
            <w:noWrap/>
            <w:vAlign w:val="center"/>
          </w:tcPr>
          <w:p w14:paraId="34CC6E14">
            <w:pPr>
              <w:autoSpaceDE w:val="0"/>
              <w:autoSpaceDN w:val="0"/>
              <w:adjustRightInd w:val="0"/>
              <w:jc w:val="center"/>
              <w:rPr>
                <w:sz w:val="24"/>
              </w:rPr>
            </w:pPr>
            <w:r>
              <w:rPr>
                <w:szCs w:val="21"/>
              </w:rPr>
              <w:t>校准方法条款</w:t>
            </w:r>
          </w:p>
        </w:tc>
      </w:tr>
      <w:tr w14:paraId="6D08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44A92430">
            <w:pPr>
              <w:autoSpaceDE w:val="0"/>
              <w:autoSpaceDN w:val="0"/>
              <w:adjustRightInd w:val="0"/>
              <w:jc w:val="center"/>
              <w:rPr>
                <w:szCs w:val="21"/>
              </w:rPr>
            </w:pPr>
            <w:r>
              <w:rPr>
                <w:szCs w:val="21"/>
              </w:rPr>
              <w:t>1</w:t>
            </w:r>
          </w:p>
        </w:tc>
        <w:tc>
          <w:tcPr>
            <w:tcW w:w="0" w:type="auto"/>
            <w:noWrap/>
            <w:vAlign w:val="center"/>
          </w:tcPr>
          <w:p w14:paraId="0D0D8539">
            <w:pPr>
              <w:autoSpaceDE w:val="0"/>
              <w:autoSpaceDN w:val="0"/>
              <w:adjustRightInd w:val="0"/>
              <w:jc w:val="center"/>
              <w:rPr>
                <w:szCs w:val="21"/>
              </w:rPr>
            </w:pPr>
            <w:bookmarkStart w:id="5" w:name="OLE_LINK6"/>
            <w:bookmarkStart w:id="6" w:name="OLE_LINK5"/>
            <w:r>
              <w:rPr>
                <w:szCs w:val="21"/>
              </w:rPr>
              <w:t>通用技术要求</w:t>
            </w:r>
            <w:bookmarkEnd w:id="5"/>
            <w:bookmarkEnd w:id="6"/>
          </w:p>
        </w:tc>
        <w:tc>
          <w:tcPr>
            <w:tcW w:w="0" w:type="auto"/>
            <w:noWrap/>
            <w:vAlign w:val="center"/>
          </w:tcPr>
          <w:p w14:paraId="79E55E68">
            <w:pPr>
              <w:autoSpaceDE w:val="0"/>
              <w:autoSpaceDN w:val="0"/>
              <w:adjustRightInd w:val="0"/>
              <w:jc w:val="center"/>
              <w:rPr>
                <w:szCs w:val="21"/>
              </w:rPr>
            </w:pPr>
            <w:r>
              <w:rPr>
                <w:szCs w:val="21"/>
              </w:rPr>
              <w:t>6.1, 6.2,6.3</w:t>
            </w:r>
          </w:p>
        </w:tc>
        <w:tc>
          <w:tcPr>
            <w:tcW w:w="0" w:type="auto"/>
            <w:noWrap/>
            <w:vAlign w:val="center"/>
          </w:tcPr>
          <w:p w14:paraId="47205A1E">
            <w:pPr>
              <w:autoSpaceDE w:val="0"/>
              <w:autoSpaceDN w:val="0"/>
              <w:adjustRightInd w:val="0"/>
              <w:jc w:val="center"/>
              <w:rPr>
                <w:sz w:val="24"/>
              </w:rPr>
            </w:pPr>
            <w:r>
              <w:rPr>
                <w:szCs w:val="21"/>
              </w:rPr>
              <w:t>8.2.1</w:t>
            </w:r>
          </w:p>
        </w:tc>
      </w:tr>
      <w:tr w14:paraId="012D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48FEB5F8">
            <w:pPr>
              <w:autoSpaceDE w:val="0"/>
              <w:autoSpaceDN w:val="0"/>
              <w:adjustRightInd w:val="0"/>
              <w:jc w:val="center"/>
              <w:rPr>
                <w:szCs w:val="21"/>
              </w:rPr>
            </w:pPr>
            <w:r>
              <w:rPr>
                <w:szCs w:val="21"/>
              </w:rPr>
              <w:t>2</w:t>
            </w:r>
          </w:p>
        </w:tc>
        <w:tc>
          <w:tcPr>
            <w:tcW w:w="0" w:type="auto"/>
            <w:noWrap/>
            <w:vAlign w:val="center"/>
          </w:tcPr>
          <w:p w14:paraId="4673D8BE">
            <w:pPr>
              <w:autoSpaceDE w:val="0"/>
              <w:autoSpaceDN w:val="0"/>
              <w:adjustRightInd w:val="0"/>
              <w:jc w:val="center"/>
              <w:rPr>
                <w:szCs w:val="21"/>
              </w:rPr>
            </w:pPr>
            <w:r>
              <w:rPr>
                <w:kern w:val="0"/>
                <w:sz w:val="24"/>
              </w:rPr>
              <w:t>加速度频率响应</w:t>
            </w:r>
          </w:p>
        </w:tc>
        <w:tc>
          <w:tcPr>
            <w:tcW w:w="0" w:type="auto"/>
            <w:noWrap/>
            <w:vAlign w:val="center"/>
          </w:tcPr>
          <w:p w14:paraId="2629369C">
            <w:pPr>
              <w:autoSpaceDE w:val="0"/>
              <w:autoSpaceDN w:val="0"/>
              <w:adjustRightInd w:val="0"/>
              <w:jc w:val="center"/>
              <w:rPr>
                <w:szCs w:val="21"/>
              </w:rPr>
            </w:pPr>
            <w:r>
              <w:rPr>
                <w:szCs w:val="21"/>
              </w:rPr>
              <w:t>5.1</w:t>
            </w:r>
          </w:p>
        </w:tc>
        <w:tc>
          <w:tcPr>
            <w:tcW w:w="0" w:type="auto"/>
            <w:noWrap/>
            <w:vAlign w:val="center"/>
          </w:tcPr>
          <w:p w14:paraId="564F3203">
            <w:pPr>
              <w:autoSpaceDE w:val="0"/>
              <w:autoSpaceDN w:val="0"/>
              <w:adjustRightInd w:val="0"/>
              <w:jc w:val="center"/>
              <w:rPr>
                <w:sz w:val="24"/>
              </w:rPr>
            </w:pPr>
            <w:r>
              <w:rPr>
                <w:szCs w:val="21"/>
              </w:rPr>
              <w:t>8.2.2</w:t>
            </w:r>
          </w:p>
        </w:tc>
      </w:tr>
      <w:tr w14:paraId="68E5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noWrap/>
            <w:vAlign w:val="center"/>
          </w:tcPr>
          <w:p w14:paraId="7B2FAB8E">
            <w:pPr>
              <w:autoSpaceDE w:val="0"/>
              <w:autoSpaceDN w:val="0"/>
              <w:adjustRightInd w:val="0"/>
              <w:jc w:val="center"/>
              <w:rPr>
                <w:szCs w:val="21"/>
              </w:rPr>
            </w:pPr>
            <w:r>
              <w:rPr>
                <w:szCs w:val="21"/>
              </w:rPr>
              <w:t>3</w:t>
            </w:r>
          </w:p>
        </w:tc>
        <w:tc>
          <w:tcPr>
            <w:tcW w:w="0" w:type="auto"/>
            <w:noWrap/>
            <w:vAlign w:val="center"/>
          </w:tcPr>
          <w:p w14:paraId="4EE1D7C3">
            <w:pPr>
              <w:autoSpaceDE w:val="0"/>
              <w:autoSpaceDN w:val="0"/>
              <w:adjustRightInd w:val="0"/>
              <w:jc w:val="center"/>
              <w:rPr>
                <w:szCs w:val="21"/>
              </w:rPr>
            </w:pPr>
            <w:r>
              <w:rPr>
                <w:kern w:val="0"/>
                <w:sz w:val="24"/>
              </w:rPr>
              <w:t>加速度幅值线性度</w:t>
            </w:r>
          </w:p>
        </w:tc>
        <w:tc>
          <w:tcPr>
            <w:tcW w:w="0" w:type="auto"/>
            <w:noWrap/>
            <w:vAlign w:val="center"/>
          </w:tcPr>
          <w:p w14:paraId="4C77C8E7">
            <w:pPr>
              <w:autoSpaceDE w:val="0"/>
              <w:autoSpaceDN w:val="0"/>
              <w:adjustRightInd w:val="0"/>
              <w:jc w:val="center"/>
              <w:rPr>
                <w:szCs w:val="21"/>
              </w:rPr>
            </w:pPr>
            <w:r>
              <w:rPr>
                <w:szCs w:val="21"/>
              </w:rPr>
              <w:t>5.2</w:t>
            </w:r>
          </w:p>
        </w:tc>
        <w:tc>
          <w:tcPr>
            <w:tcW w:w="0" w:type="auto"/>
            <w:noWrap/>
            <w:vAlign w:val="center"/>
          </w:tcPr>
          <w:p w14:paraId="0B327220">
            <w:pPr>
              <w:autoSpaceDE w:val="0"/>
              <w:autoSpaceDN w:val="0"/>
              <w:adjustRightInd w:val="0"/>
              <w:jc w:val="center"/>
              <w:rPr>
                <w:sz w:val="24"/>
              </w:rPr>
            </w:pPr>
            <w:r>
              <w:rPr>
                <w:szCs w:val="21"/>
              </w:rPr>
              <w:t>8.2.3</w:t>
            </w:r>
          </w:p>
        </w:tc>
      </w:tr>
      <w:bookmarkEnd w:id="4"/>
    </w:tbl>
    <w:p w14:paraId="1823A23B">
      <w:pPr>
        <w:autoSpaceDE w:val="0"/>
        <w:autoSpaceDN w:val="0"/>
        <w:adjustRightInd w:val="0"/>
        <w:jc w:val="left"/>
        <w:rPr>
          <w:sz w:val="24"/>
        </w:rPr>
      </w:pPr>
      <w:r>
        <w:rPr>
          <w:sz w:val="24"/>
        </w:rPr>
        <w:t>8.2 校准方法</w:t>
      </w:r>
    </w:p>
    <w:p w14:paraId="128A213C">
      <w:pPr>
        <w:autoSpaceDE w:val="0"/>
        <w:autoSpaceDN w:val="0"/>
        <w:adjustRightInd w:val="0"/>
        <w:ind w:firstLine="480" w:firstLineChars="200"/>
        <w:jc w:val="left"/>
        <w:rPr>
          <w:sz w:val="24"/>
        </w:rPr>
      </w:pPr>
      <w:r>
        <w:rPr>
          <w:sz w:val="24"/>
        </w:rPr>
        <w:t>所有电子仪器在校准前均应通电预热15 min。</w:t>
      </w:r>
    </w:p>
    <w:p w14:paraId="6F80BEBC">
      <w:pPr>
        <w:autoSpaceDE w:val="0"/>
        <w:autoSpaceDN w:val="0"/>
        <w:adjustRightInd w:val="0"/>
        <w:jc w:val="left"/>
        <w:rPr>
          <w:sz w:val="24"/>
        </w:rPr>
      </w:pPr>
      <w:r>
        <w:rPr>
          <w:sz w:val="24"/>
        </w:rPr>
        <w:t>8.2.1 通用技术要求</w:t>
      </w:r>
    </w:p>
    <w:p w14:paraId="153AC60C">
      <w:pPr>
        <w:autoSpaceDE w:val="0"/>
        <w:autoSpaceDN w:val="0"/>
        <w:adjustRightInd w:val="0"/>
        <w:ind w:firstLine="480" w:firstLineChars="200"/>
        <w:jc w:val="left"/>
        <w:rPr>
          <w:sz w:val="24"/>
        </w:rPr>
      </w:pPr>
      <w:r>
        <w:rPr>
          <w:sz w:val="24"/>
        </w:rPr>
        <w:t>通过目测检查6.1~6.3项，应该符合相应要求。</w:t>
      </w:r>
    </w:p>
    <w:p w14:paraId="19E73FB5">
      <w:pPr>
        <w:autoSpaceDE w:val="0"/>
        <w:autoSpaceDN w:val="0"/>
        <w:adjustRightInd w:val="0"/>
        <w:jc w:val="left"/>
        <w:rPr>
          <w:sz w:val="24"/>
        </w:rPr>
      </w:pPr>
      <w:r>
        <w:rPr>
          <w:sz w:val="24"/>
        </w:rPr>
        <w:t>8.2.2 加速度频率响应</w:t>
      </w:r>
    </w:p>
    <w:p w14:paraId="7F86F704">
      <w:pPr>
        <w:snapToGrid w:val="0"/>
        <w:spacing w:line="460" w:lineRule="exact"/>
        <w:outlineLvl w:val="1"/>
        <w:rPr>
          <w:sz w:val="24"/>
        </w:rPr>
      </w:pPr>
      <w:r>
        <w:rPr>
          <w:sz w:val="24"/>
        </w:rPr>
        <w:t>8.2.2.1将标准加速计安装在标准振动台台面中心。</w:t>
      </w:r>
    </w:p>
    <w:p w14:paraId="6812CDA5">
      <w:pPr>
        <w:snapToGrid w:val="0"/>
        <w:spacing w:line="460" w:lineRule="exact"/>
        <w:outlineLvl w:val="1"/>
        <w:rPr>
          <w:sz w:val="24"/>
        </w:rPr>
      </w:pPr>
      <w:r>
        <w:rPr>
          <w:sz w:val="24"/>
        </w:rPr>
        <w:t>8.2.2.2将被校准传感器与标准加速度计采用肩并肩或者叠加连接方式，输出线缆固定，防止校准时产生剧烈抖动、 碰撞和摩擦现象。校准原理如图1所示。</w:t>
      </w:r>
    </w:p>
    <w:p w14:paraId="0DFCE324">
      <w:pPr>
        <w:widowControl/>
        <w:spacing w:line="360" w:lineRule="auto"/>
        <w:ind w:firstLine="465"/>
        <w:jc w:val="center"/>
      </w:pPr>
      <w:r>
        <w:object>
          <v:shape id="_x0000_i1025" o:spt="75" type="#_x0000_t75" style="height:170.25pt;width:458.25pt;" o:ole="t" filled="f" o:preferrelative="t" stroked="f" coordsize="21600,21600">
            <v:path/>
            <v:fill on="f" focussize="0,0"/>
            <v:stroke on="f" joinstyle="miter"/>
            <v:imagedata r:id="rId22" o:title=""/>
            <o:lock v:ext="edit" aspectratio="t"/>
            <w10:wrap type="none"/>
            <w10:anchorlock/>
          </v:shape>
          <o:OLEObject Type="Embed" ProgID="Visio.Drawing.15" ShapeID="_x0000_i1025" DrawAspect="Content" ObjectID="_1468075725" r:id="rId21">
            <o:LockedField>false</o:LockedField>
          </o:OLEObject>
        </w:object>
      </w:r>
      <w:r>
        <w:t>(a) 肩并肩连接方式</w:t>
      </w:r>
    </w:p>
    <w:p w14:paraId="6FDAD8CB">
      <w:pPr>
        <w:widowControl/>
        <w:spacing w:line="360" w:lineRule="auto"/>
        <w:ind w:firstLine="465"/>
        <w:jc w:val="center"/>
      </w:pPr>
      <w:r>
        <w:rPr>
          <w:rFonts w:hint="eastAsia"/>
        </w:rPr>
        <w:object>
          <v:shape id="_x0000_i1026" o:spt="75" type="#_x0000_t75" style="height:75pt;width:402.75pt;" o:ole="t" filled="f" o:preferrelative="t" stroked="f" coordsize="21600,21600">
            <v:path/>
            <v:fill on="f" focussize="0,0"/>
            <v:stroke on="f" joinstyle="miter"/>
            <v:imagedata r:id="rId24" o:title=""/>
            <o:lock v:ext="edit" aspectratio="t"/>
            <w10:wrap type="none"/>
            <w10:anchorlock/>
          </v:shape>
          <o:OLEObject Type="Embed" ProgID="Visio.Drawing.11" ShapeID="_x0000_i1026" DrawAspect="Content" ObjectID="_1468075726" r:id="rId23">
            <o:LockedField>false</o:LockedField>
          </o:OLEObject>
        </w:object>
      </w:r>
    </w:p>
    <w:p w14:paraId="5361ED5C">
      <w:pPr>
        <w:widowControl/>
        <w:spacing w:line="360" w:lineRule="auto"/>
        <w:ind w:firstLine="465"/>
        <w:jc w:val="center"/>
      </w:pPr>
      <w:r>
        <w:t>(</w:t>
      </w:r>
      <w:r>
        <w:rPr>
          <w:rFonts w:hint="eastAsia"/>
        </w:rPr>
        <w:t>b)</w:t>
      </w:r>
      <w:r>
        <w:t xml:space="preserve"> </w:t>
      </w:r>
      <w:r>
        <w:rPr>
          <w:rFonts w:hint="eastAsia"/>
        </w:rPr>
        <w:t>叠加</w:t>
      </w:r>
      <w:r>
        <w:t>连接方式</w:t>
      </w:r>
    </w:p>
    <w:p w14:paraId="77308098">
      <w:pPr>
        <w:widowControl/>
        <w:spacing w:line="360" w:lineRule="auto"/>
        <w:jc w:val="center"/>
      </w:pPr>
      <w:r>
        <w:t>图1 校准原理图</w:t>
      </w:r>
    </w:p>
    <w:p w14:paraId="72DD6D76">
      <w:pPr>
        <w:widowControl/>
        <w:spacing w:line="360" w:lineRule="auto"/>
        <w:rPr>
          <w:sz w:val="24"/>
        </w:rPr>
      </w:pPr>
      <w:r>
        <w:rPr>
          <w:sz w:val="24"/>
        </w:rPr>
        <w:t>8.2.2.3由标准振动台给出不小于0.1 m/s</w:t>
      </w:r>
      <w:r>
        <w:rPr>
          <w:sz w:val="24"/>
          <w:vertAlign w:val="superscript"/>
        </w:rPr>
        <w:t>2</w:t>
      </w:r>
      <w:r>
        <w:rPr>
          <w:sz w:val="24"/>
        </w:rPr>
        <w:t>固定加速度幅值，读取电梯加速度测试仪的加速度示值</w:t>
      </w:r>
      <w:r>
        <w:rPr>
          <w:i/>
          <w:sz w:val="24"/>
        </w:rPr>
        <w:t>a</w:t>
      </w:r>
      <w:r>
        <w:rPr>
          <w:i/>
          <w:sz w:val="24"/>
          <w:vertAlign w:val="subscript"/>
        </w:rPr>
        <w:t>i</w:t>
      </w:r>
      <w:r>
        <w:rPr>
          <w:sz w:val="24"/>
        </w:rPr>
        <w:t>。改变频率，测量并记录不同频率下被检电梯加速度测试仪的加速度示值。</w:t>
      </w:r>
    </w:p>
    <w:p w14:paraId="7EFC60D9">
      <w:pPr>
        <w:widowControl/>
        <w:spacing w:line="360" w:lineRule="auto"/>
        <w:rPr>
          <w:sz w:val="24"/>
        </w:rPr>
      </w:pPr>
      <w:r>
        <w:rPr>
          <w:sz w:val="24"/>
        </w:rPr>
        <w:t>8.2.2.4推荐在2 Hz，4 Hz，8 Hz，10 Hz，20 Hz，40 Hz，80 Hz频率点选取包括8 Hz在内的不少于7个频率点进行校准。</w:t>
      </w:r>
    </w:p>
    <w:p w14:paraId="61A677DC">
      <w:pPr>
        <w:widowControl/>
        <w:spacing w:line="360" w:lineRule="auto"/>
        <w:rPr>
          <w:sz w:val="24"/>
        </w:rPr>
      </w:pPr>
      <w:r>
        <w:rPr>
          <w:sz w:val="24"/>
        </w:rPr>
        <w:t>8.2.2.5加速度频率响应按公式(1)计算其相对误差：</w:t>
      </w:r>
    </w:p>
    <w:p w14:paraId="799592B8">
      <w:pPr>
        <w:wordWrap w:val="0"/>
        <w:spacing w:line="360" w:lineRule="auto"/>
        <w:ind w:firstLine="1820" w:firstLineChars="650"/>
        <w:jc w:val="right"/>
        <w:rPr>
          <w:rFonts w:eastAsiaTheme="minorEastAsia"/>
          <w:sz w:val="24"/>
        </w:rPr>
      </w:pPr>
      <w:r>
        <w:rPr>
          <w:spacing w:val="20"/>
          <w:position w:val="-30"/>
          <w:sz w:val="24"/>
        </w:rPr>
        <w:object>
          <v:shape id="_x0000_i1027" o:spt="75" type="#_x0000_t75" style="height:34.5pt;width:96.75pt;" o:ole="t" filled="f" o:preferrelative="t" stroked="f" coordsize="21600,21600">
            <v:path/>
            <v:fill on="f" focussize="0,0"/>
            <v:stroke on="f" joinstyle="miter"/>
            <v:imagedata r:id="rId26" o:title=""/>
            <o:lock v:ext="edit" aspectratio="t"/>
            <w10:wrap type="none"/>
            <w10:anchorlock/>
          </v:shape>
          <o:OLEObject Type="Embed" ProgID="Equation.DSMT4" ShapeID="_x0000_i1027" DrawAspect="Content" ObjectID="_1468075727" r:id="rId25">
            <o:LockedField>false</o:LockedField>
          </o:OLEObject>
        </w:object>
      </w:r>
      <w:r>
        <w:rPr>
          <w:spacing w:val="20"/>
          <w:sz w:val="24"/>
        </w:rPr>
        <w:t xml:space="preserve"> </w:t>
      </w:r>
      <w:r>
        <w:rPr>
          <w:rFonts w:eastAsiaTheme="minorEastAsia"/>
          <w:position w:val="-12"/>
          <w:sz w:val="24"/>
        </w:rPr>
        <w:t xml:space="preserve">                          </w:t>
      </w:r>
      <w:r>
        <w:rPr>
          <w:rFonts w:eastAsiaTheme="minorEastAsia"/>
          <w:sz w:val="24"/>
        </w:rPr>
        <w:t>(1)</w:t>
      </w:r>
    </w:p>
    <w:p w14:paraId="2E530D3B">
      <w:pPr>
        <w:pStyle w:val="29"/>
        <w:spacing w:line="360" w:lineRule="auto"/>
        <w:ind w:firstLineChars="175"/>
        <w:rPr>
          <w:sz w:val="24"/>
        </w:rPr>
      </w:pPr>
      <w:r>
        <w:rPr>
          <w:sz w:val="24"/>
        </w:rPr>
        <w:t>式中：</w:t>
      </w:r>
      <w:r>
        <w:rPr>
          <w:position w:val="-12"/>
          <w:sz w:val="24"/>
        </w:rPr>
        <w:object>
          <v:shape id="_x0000_i1028" o:spt="75" type="#_x0000_t75" style="height:18.75pt;width:11.25pt;" o:ole="t" filled="f" o:preferrelative="t" stroked="f" coordsize="21600,21600">
            <v:path/>
            <v:fill on="f" focussize="0,0"/>
            <v:stroke on="f" joinstyle="miter"/>
            <v:imagedata r:id="rId28" o:title=""/>
            <o:lock v:ext="edit" aspectratio="t"/>
            <w10:wrap type="none"/>
            <w10:anchorlock/>
          </v:shape>
          <o:OLEObject Type="Embed" ProgID="Equation.DSMT4" ShapeID="_x0000_i1028" DrawAspect="Content" ObjectID="_1468075728" r:id="rId27">
            <o:LockedField>false</o:LockedField>
          </o:OLEObject>
        </w:object>
      </w:r>
      <w:r>
        <w:rPr>
          <w:sz w:val="24"/>
        </w:rPr>
        <w:t>—</w:t>
      </w:r>
      <w:r>
        <w:rPr>
          <w:rFonts w:eastAsiaTheme="minorEastAsia"/>
          <w:sz w:val="24"/>
        </w:rPr>
        <w:t>—</w:t>
      </w:r>
      <w:r>
        <w:rPr>
          <w:sz w:val="24"/>
        </w:rPr>
        <w:t>电梯加速度测试仪加速度示值，m/s</w:t>
      </w:r>
      <w:r>
        <w:rPr>
          <w:sz w:val="24"/>
          <w:vertAlign w:val="superscript"/>
        </w:rPr>
        <w:t>2</w:t>
      </w:r>
      <w:r>
        <w:rPr>
          <w:sz w:val="24"/>
        </w:rPr>
        <w:t>；</w:t>
      </w:r>
    </w:p>
    <w:p w14:paraId="2AAD2DA6">
      <w:pPr>
        <w:pStyle w:val="29"/>
        <w:spacing w:line="360" w:lineRule="auto"/>
        <w:ind w:firstLine="1200" w:firstLineChars="500"/>
        <w:rPr>
          <w:sz w:val="24"/>
        </w:rPr>
      </w:pPr>
      <w:r>
        <w:rPr>
          <w:position w:val="-12"/>
          <w:sz w:val="24"/>
        </w:rPr>
        <w:object>
          <v:shape id="_x0000_i1029" o:spt="75" type="#_x0000_t75" style="height:18.75pt;width:12.75pt;" o:ole="t" filled="f" o:preferrelative="t" stroked="f" coordsize="21600,21600">
            <v:path/>
            <v:fill on="f" focussize="0,0"/>
            <v:stroke on="f" joinstyle="miter"/>
            <v:imagedata r:id="rId30" o:title=""/>
            <o:lock v:ext="edit" aspectratio="t"/>
            <w10:wrap type="none"/>
            <w10:anchorlock/>
          </v:shape>
          <o:OLEObject Type="Embed" ProgID="Equation.DSMT4" ShapeID="_x0000_i1029" DrawAspect="Content" ObjectID="_1468075729" r:id="rId29">
            <o:LockedField>false</o:LockedField>
          </o:OLEObject>
        </w:object>
      </w:r>
      <w:r>
        <w:rPr>
          <w:sz w:val="24"/>
        </w:rPr>
        <w:t>—</w:t>
      </w:r>
      <w:r>
        <w:rPr>
          <w:rFonts w:eastAsiaTheme="minorEastAsia"/>
          <w:sz w:val="24"/>
        </w:rPr>
        <w:t>—</w:t>
      </w:r>
      <w:r>
        <w:rPr>
          <w:sz w:val="24"/>
        </w:rPr>
        <w:t>振动标准装置加速度标准值，m/s</w:t>
      </w:r>
      <w:r>
        <w:rPr>
          <w:sz w:val="24"/>
          <w:vertAlign w:val="superscript"/>
        </w:rPr>
        <w:t>2</w:t>
      </w:r>
      <w:r>
        <w:rPr>
          <w:sz w:val="24"/>
        </w:rPr>
        <w:t>；</w:t>
      </w:r>
    </w:p>
    <w:p w14:paraId="0DF20792">
      <w:pPr>
        <w:pStyle w:val="29"/>
        <w:spacing w:line="360" w:lineRule="auto"/>
        <w:ind w:firstLine="1155" w:firstLineChars="550"/>
        <w:rPr>
          <w:sz w:val="24"/>
        </w:rPr>
      </w:pPr>
      <w:r>
        <w:rPr>
          <w:position w:val="-14"/>
        </w:rPr>
        <w:object>
          <v:shape id="_x0000_i1030" o:spt="75" type="#_x0000_t75" style="height:18.75pt;width:15pt;" o:ole="t" filled="f" o:preferrelative="t" stroked="f" coordsize="21600,21600">
            <v:path/>
            <v:fill on="f" focussize="0,0"/>
            <v:stroke on="f" joinstyle="miter"/>
            <v:imagedata r:id="rId32" o:title=""/>
            <o:lock v:ext="edit" aspectratio="t"/>
            <w10:wrap type="none"/>
            <w10:anchorlock/>
          </v:shape>
          <o:OLEObject Type="Embed" ProgID="Equation.DSMT4" ShapeID="_x0000_i1030" DrawAspect="Content" ObjectID="_1468075730" r:id="rId31">
            <o:LockedField>false</o:LockedField>
          </o:OLEObject>
        </w:object>
      </w:r>
      <w:r>
        <w:rPr>
          <w:sz w:val="24"/>
        </w:rPr>
        <w:t>—</w:t>
      </w:r>
      <w:r>
        <w:rPr>
          <w:rFonts w:eastAsiaTheme="minorEastAsia"/>
          <w:sz w:val="24"/>
        </w:rPr>
        <w:t>—</w:t>
      </w:r>
      <w:r>
        <w:rPr>
          <w:sz w:val="24"/>
        </w:rPr>
        <w:t>参考频率</w:t>
      </w:r>
      <w:r>
        <w:rPr>
          <w:i/>
          <w:iCs/>
          <w:sz w:val="24"/>
        </w:rPr>
        <w:t>i</w:t>
      </w:r>
      <w:r>
        <w:rPr>
          <w:sz w:val="24"/>
        </w:rPr>
        <w:t>的加速度频率响应相对误差，%。</w:t>
      </w:r>
    </w:p>
    <w:p w14:paraId="748EA968">
      <w:pPr>
        <w:pStyle w:val="29"/>
        <w:spacing w:line="360" w:lineRule="auto"/>
        <w:ind w:firstLineChars="175"/>
      </w:pPr>
      <w:r>
        <w:rPr>
          <w:sz w:val="24"/>
        </w:rPr>
        <w:t>其结果的最大相对误差应符合规范5.1要求</w:t>
      </w:r>
      <w:r>
        <w:t>。</w:t>
      </w:r>
    </w:p>
    <w:p w14:paraId="314B8647">
      <w:pPr>
        <w:autoSpaceDE w:val="0"/>
        <w:autoSpaceDN w:val="0"/>
        <w:adjustRightInd w:val="0"/>
        <w:jc w:val="left"/>
        <w:rPr>
          <w:sz w:val="24"/>
        </w:rPr>
      </w:pPr>
      <w:r>
        <w:rPr>
          <w:sz w:val="24"/>
        </w:rPr>
        <w:t>8.2.3 加速度幅值线性度</w:t>
      </w:r>
    </w:p>
    <w:p w14:paraId="0451ED06">
      <w:pPr>
        <w:tabs>
          <w:tab w:val="left" w:pos="3880"/>
        </w:tabs>
        <w:autoSpaceDE w:val="0"/>
        <w:autoSpaceDN w:val="0"/>
        <w:adjustRightInd w:val="0"/>
        <w:spacing w:line="360" w:lineRule="auto"/>
        <w:ind w:right="-20" w:firstLine="480" w:firstLineChars="200"/>
        <w:jc w:val="left"/>
        <w:rPr>
          <w:sz w:val="24"/>
        </w:rPr>
      </w:pPr>
      <w:r>
        <w:rPr>
          <w:sz w:val="24"/>
        </w:rPr>
        <w:t>选取某个参考频率点(推荐8 Hz)，在此频率下，选取包括电梯加速度测试仪上下限振动幅值在内的不少于 5 个均匀分布的加速度测量点进行校准(一般为40 cm/s</w:t>
      </w:r>
      <w:r>
        <w:rPr>
          <w:sz w:val="24"/>
          <w:vertAlign w:val="superscript"/>
        </w:rPr>
        <w:t>2</w:t>
      </w:r>
      <w:r>
        <w:rPr>
          <w:sz w:val="24"/>
        </w:rPr>
        <w:t>、80 cm/s</w:t>
      </w:r>
      <w:r>
        <w:rPr>
          <w:sz w:val="24"/>
          <w:vertAlign w:val="superscript"/>
        </w:rPr>
        <w:t>2</w:t>
      </w:r>
      <w:r>
        <w:rPr>
          <w:sz w:val="24"/>
        </w:rPr>
        <w:t>、120 cm/s</w:t>
      </w:r>
      <w:r>
        <w:rPr>
          <w:sz w:val="24"/>
          <w:vertAlign w:val="superscript"/>
        </w:rPr>
        <w:t>2</w:t>
      </w:r>
      <w:r>
        <w:rPr>
          <w:sz w:val="24"/>
        </w:rPr>
        <w:t>、160 cm/s</w:t>
      </w:r>
      <w:r>
        <w:rPr>
          <w:sz w:val="24"/>
          <w:vertAlign w:val="superscript"/>
        </w:rPr>
        <w:t>2</w:t>
      </w:r>
      <w:r>
        <w:rPr>
          <w:sz w:val="24"/>
        </w:rPr>
        <w:t>和200 cm/s</w:t>
      </w:r>
      <w:r>
        <w:rPr>
          <w:sz w:val="24"/>
          <w:vertAlign w:val="superscript"/>
        </w:rPr>
        <w:t>2</w:t>
      </w:r>
      <w:r>
        <w:rPr>
          <w:sz w:val="24"/>
        </w:rPr>
        <w:t>等)，记录被</w:t>
      </w:r>
      <w:r>
        <w:rPr>
          <w:rFonts w:hint="eastAsia"/>
          <w:sz w:val="24"/>
        </w:rPr>
        <w:t>检</w:t>
      </w:r>
      <w:r>
        <w:rPr>
          <w:sz w:val="24"/>
        </w:rPr>
        <w:t>电梯加速度测试仪在不同幅值下的加速度示值，加速度幅值线性度按公式(2) 计算其相对误差：</w:t>
      </w:r>
    </w:p>
    <w:p w14:paraId="5018F516">
      <w:pPr>
        <w:wordWrap w:val="0"/>
        <w:spacing w:line="360" w:lineRule="auto"/>
        <w:ind w:firstLine="1820" w:firstLineChars="650"/>
        <w:jc w:val="right"/>
        <w:rPr>
          <w:rFonts w:eastAsiaTheme="minorEastAsia"/>
          <w:sz w:val="24"/>
        </w:rPr>
      </w:pPr>
      <w:r>
        <w:rPr>
          <w:spacing w:val="20"/>
          <w:position w:val="-30"/>
          <w:sz w:val="24"/>
        </w:rPr>
        <w:object>
          <v:shape id="_x0000_i1031" o:spt="75" type="#_x0000_t75" style="height:34.5pt;width:97.5pt;" o:ole="t" filled="f" o:preferrelative="t" stroked="f" coordsize="21600,21600">
            <v:path/>
            <v:fill on="f" focussize="0,0"/>
            <v:stroke on="f" joinstyle="miter"/>
            <v:imagedata r:id="rId34" o:title=""/>
            <o:lock v:ext="edit" aspectratio="t"/>
            <w10:wrap type="none"/>
            <w10:anchorlock/>
          </v:shape>
          <o:OLEObject Type="Embed" ProgID="Equation.DSMT4" ShapeID="_x0000_i1031" DrawAspect="Content" ObjectID="_1468075731" r:id="rId33">
            <o:LockedField>false</o:LockedField>
          </o:OLEObject>
        </w:object>
      </w:r>
      <w:r>
        <w:rPr>
          <w:spacing w:val="20"/>
          <w:sz w:val="24"/>
        </w:rPr>
        <w:t xml:space="preserve"> </w:t>
      </w:r>
      <w:r>
        <w:rPr>
          <w:rFonts w:eastAsiaTheme="minorEastAsia"/>
          <w:position w:val="-12"/>
          <w:sz w:val="24"/>
        </w:rPr>
        <w:t xml:space="preserve">                          </w:t>
      </w:r>
      <w:r>
        <w:rPr>
          <w:rFonts w:eastAsiaTheme="minorEastAsia"/>
          <w:sz w:val="24"/>
        </w:rPr>
        <w:t>(2)</w:t>
      </w:r>
    </w:p>
    <w:p w14:paraId="4A90019B">
      <w:pPr>
        <w:pStyle w:val="29"/>
        <w:spacing w:line="360" w:lineRule="auto"/>
        <w:ind w:firstLineChars="175"/>
        <w:rPr>
          <w:sz w:val="24"/>
        </w:rPr>
      </w:pPr>
      <w:r>
        <w:rPr>
          <w:sz w:val="24"/>
        </w:rPr>
        <w:t>式中：</w:t>
      </w:r>
      <w:r>
        <w:rPr>
          <w:position w:val="-12"/>
          <w:sz w:val="24"/>
        </w:rPr>
        <w:object>
          <v:shape id="_x0000_i1032" o:spt="75" type="#_x0000_t75" style="height:18.75pt;width:11.25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2" r:id="rId35">
            <o:LockedField>false</o:LockedField>
          </o:OLEObject>
        </w:object>
      </w:r>
      <w:r>
        <w:rPr>
          <w:sz w:val="24"/>
        </w:rPr>
        <w:t>—</w:t>
      </w:r>
      <w:r>
        <w:rPr>
          <w:rFonts w:eastAsiaTheme="minorEastAsia"/>
          <w:sz w:val="24"/>
        </w:rPr>
        <w:t>—</w:t>
      </w:r>
      <w:r>
        <w:rPr>
          <w:sz w:val="24"/>
        </w:rPr>
        <w:t>电梯加速度测试仪加速度示值，m/s</w:t>
      </w:r>
      <w:r>
        <w:rPr>
          <w:sz w:val="24"/>
          <w:vertAlign w:val="superscript"/>
        </w:rPr>
        <w:t>2</w:t>
      </w:r>
      <w:r>
        <w:rPr>
          <w:sz w:val="24"/>
        </w:rPr>
        <w:t>；</w:t>
      </w:r>
    </w:p>
    <w:p w14:paraId="097D6E5A">
      <w:pPr>
        <w:pStyle w:val="29"/>
        <w:spacing w:line="360" w:lineRule="auto"/>
        <w:ind w:firstLine="1200" w:firstLineChars="500"/>
        <w:rPr>
          <w:sz w:val="24"/>
        </w:rPr>
      </w:pPr>
      <w:r>
        <w:rPr>
          <w:position w:val="-12"/>
          <w:sz w:val="24"/>
        </w:rPr>
        <w:object>
          <v:shape id="_x0000_i1033" o:spt="75" type="#_x0000_t75" style="height:18.75pt;width:12.75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3" r:id="rId36">
            <o:LockedField>false</o:LockedField>
          </o:OLEObject>
        </w:object>
      </w:r>
      <w:r>
        <w:rPr>
          <w:sz w:val="24"/>
        </w:rPr>
        <w:t>—</w:t>
      </w:r>
      <w:r>
        <w:rPr>
          <w:rFonts w:eastAsiaTheme="minorEastAsia"/>
          <w:sz w:val="24"/>
        </w:rPr>
        <w:t>—</w:t>
      </w:r>
      <w:r>
        <w:rPr>
          <w:sz w:val="24"/>
        </w:rPr>
        <w:t>振动标准装置的加速度标准值，m/s</w:t>
      </w:r>
      <w:r>
        <w:rPr>
          <w:sz w:val="24"/>
          <w:vertAlign w:val="superscript"/>
        </w:rPr>
        <w:t>2</w:t>
      </w:r>
      <w:r>
        <w:rPr>
          <w:sz w:val="24"/>
        </w:rPr>
        <w:t>；</w:t>
      </w:r>
    </w:p>
    <w:p w14:paraId="3BEBE816">
      <w:pPr>
        <w:pStyle w:val="29"/>
        <w:spacing w:line="360" w:lineRule="auto"/>
        <w:ind w:firstLine="1155" w:firstLineChars="550"/>
        <w:rPr>
          <w:sz w:val="24"/>
        </w:rPr>
      </w:pPr>
      <w:r>
        <w:rPr>
          <w:position w:val="-12"/>
        </w:rPr>
        <w:object>
          <v:shape id="_x0000_i1034" o:spt="75" type="#_x0000_t75" style="height:18pt;width:15.75pt;" o:ole="t" filled="f" o:preferrelative="t" stroked="f" coordsize="21600,21600">
            <v:path/>
            <v:fill on="f" focussize="0,0"/>
            <v:stroke on="f" joinstyle="miter"/>
            <v:imagedata r:id="rId38" o:title=""/>
            <o:lock v:ext="edit" aspectratio="t"/>
            <w10:wrap type="none"/>
            <w10:anchorlock/>
          </v:shape>
          <o:OLEObject Type="Embed" ProgID="Equation.DSMT4" ShapeID="_x0000_i1034" DrawAspect="Content" ObjectID="_1468075734" r:id="rId37">
            <o:LockedField>false</o:LockedField>
          </o:OLEObject>
        </w:object>
      </w:r>
      <w:r>
        <w:rPr>
          <w:sz w:val="24"/>
        </w:rPr>
        <w:t>—</w:t>
      </w:r>
      <w:r>
        <w:rPr>
          <w:rFonts w:eastAsiaTheme="minorEastAsia"/>
          <w:sz w:val="24"/>
        </w:rPr>
        <w:t>—</w:t>
      </w:r>
      <w:r>
        <w:rPr>
          <w:sz w:val="24"/>
        </w:rPr>
        <w:t>不同幅值</w:t>
      </w:r>
      <w:r>
        <w:rPr>
          <w:i/>
          <w:iCs/>
          <w:sz w:val="24"/>
        </w:rPr>
        <w:t>i</w:t>
      </w:r>
      <w:r>
        <w:rPr>
          <w:sz w:val="24"/>
        </w:rPr>
        <w:t>的加速度幅值非线性度相对误差，%。</w:t>
      </w:r>
    </w:p>
    <w:p w14:paraId="7163C4BD">
      <w:pPr>
        <w:pStyle w:val="29"/>
        <w:spacing w:line="360" w:lineRule="auto"/>
        <w:ind w:firstLineChars="175"/>
        <w:rPr>
          <w:sz w:val="24"/>
        </w:rPr>
      </w:pPr>
      <w:r>
        <w:rPr>
          <w:sz w:val="24"/>
        </w:rPr>
        <w:t>其结果的最大相对误差应符合规范5.2要求</w:t>
      </w:r>
    </w:p>
    <w:p w14:paraId="31780674">
      <w:pPr>
        <w:autoSpaceDE w:val="0"/>
        <w:autoSpaceDN w:val="0"/>
        <w:adjustRightInd w:val="0"/>
        <w:jc w:val="left"/>
        <w:rPr>
          <w:sz w:val="24"/>
        </w:rPr>
      </w:pPr>
      <w:r>
        <w:rPr>
          <w:sz w:val="24"/>
        </w:rPr>
        <w:t>8.2.4 电梯加速度测试仪具有</w:t>
      </w:r>
      <w:r>
        <w:rPr>
          <w:i/>
          <w:iCs/>
          <w:sz w:val="24"/>
        </w:rPr>
        <w:t>x</w:t>
      </w:r>
      <w:r>
        <w:rPr>
          <w:sz w:val="24"/>
        </w:rPr>
        <w:t>轴、</w:t>
      </w:r>
      <w:r>
        <w:rPr>
          <w:i/>
          <w:iCs/>
          <w:sz w:val="24"/>
        </w:rPr>
        <w:t>y</w:t>
      </w:r>
      <w:r>
        <w:rPr>
          <w:sz w:val="24"/>
        </w:rPr>
        <w:t>轴和</w:t>
      </w:r>
      <w:r>
        <w:rPr>
          <w:i/>
          <w:iCs/>
          <w:sz w:val="24"/>
        </w:rPr>
        <w:t>z</w:t>
      </w:r>
      <w:r>
        <w:rPr>
          <w:sz w:val="24"/>
        </w:rPr>
        <w:t>轴加速度测量功能，应按上述方法分别对</w:t>
      </w:r>
      <w:r>
        <w:rPr>
          <w:i/>
          <w:iCs/>
          <w:sz w:val="24"/>
        </w:rPr>
        <w:t>x</w:t>
      </w:r>
      <w:r>
        <w:rPr>
          <w:sz w:val="24"/>
        </w:rPr>
        <w:t>轴、</w:t>
      </w:r>
      <w:r>
        <w:rPr>
          <w:i/>
          <w:iCs/>
          <w:sz w:val="24"/>
        </w:rPr>
        <w:t>y</w:t>
      </w:r>
      <w:r>
        <w:rPr>
          <w:sz w:val="24"/>
        </w:rPr>
        <w:t>轴和</w:t>
      </w:r>
      <w:r>
        <w:rPr>
          <w:i/>
          <w:iCs/>
          <w:sz w:val="24"/>
        </w:rPr>
        <w:t>z</w:t>
      </w:r>
      <w:r>
        <w:rPr>
          <w:sz w:val="24"/>
        </w:rPr>
        <w:t>轴加速度进行校准。</w:t>
      </w:r>
    </w:p>
    <w:p w14:paraId="247F7DA3">
      <w:pPr>
        <w:autoSpaceDE w:val="0"/>
        <w:autoSpaceDN w:val="0"/>
        <w:adjustRightInd w:val="0"/>
        <w:spacing w:line="480" w:lineRule="auto"/>
        <w:jc w:val="left"/>
        <w:rPr>
          <w:rFonts w:eastAsia="黑体"/>
          <w:sz w:val="24"/>
        </w:rPr>
      </w:pPr>
      <w:r>
        <w:rPr>
          <w:rFonts w:eastAsia="黑体"/>
          <w:sz w:val="24"/>
        </w:rPr>
        <w:t>9 校准结果表达</w:t>
      </w:r>
    </w:p>
    <w:p w14:paraId="74DE4441">
      <w:pPr>
        <w:autoSpaceDE w:val="0"/>
        <w:autoSpaceDN w:val="0"/>
        <w:adjustRightInd w:val="0"/>
        <w:jc w:val="left"/>
        <w:rPr>
          <w:sz w:val="24"/>
        </w:rPr>
      </w:pPr>
      <w:r>
        <w:rPr>
          <w:sz w:val="24"/>
        </w:rPr>
        <w:t>9.1 校准数据处理</w:t>
      </w:r>
    </w:p>
    <w:p w14:paraId="04E2CF3A">
      <w:pPr>
        <w:tabs>
          <w:tab w:val="left" w:pos="3880"/>
        </w:tabs>
        <w:autoSpaceDE w:val="0"/>
        <w:autoSpaceDN w:val="0"/>
        <w:adjustRightInd w:val="0"/>
        <w:spacing w:line="360" w:lineRule="auto"/>
        <w:ind w:right="-20" w:firstLine="480" w:firstLineChars="200"/>
        <w:jc w:val="left"/>
        <w:rPr>
          <w:sz w:val="24"/>
        </w:rPr>
      </w:pPr>
      <w:r>
        <w:rPr>
          <w:sz w:val="24"/>
        </w:rPr>
        <w:t>所有的数据应先计算后修约。</w:t>
      </w:r>
    </w:p>
    <w:p w14:paraId="0DBA4FFB">
      <w:pPr>
        <w:spacing w:line="400" w:lineRule="exact"/>
        <w:rPr>
          <w:sz w:val="24"/>
        </w:rPr>
      </w:pPr>
      <w:r>
        <w:rPr>
          <w:sz w:val="24"/>
        </w:rPr>
        <w:t>9.2校准证书</w:t>
      </w:r>
    </w:p>
    <w:p w14:paraId="33BE2064">
      <w:pPr>
        <w:tabs>
          <w:tab w:val="left" w:pos="3880"/>
        </w:tabs>
        <w:autoSpaceDE w:val="0"/>
        <w:autoSpaceDN w:val="0"/>
        <w:adjustRightInd w:val="0"/>
        <w:spacing w:line="360" w:lineRule="auto"/>
        <w:ind w:right="-20" w:firstLine="480" w:firstLineChars="200"/>
        <w:jc w:val="left"/>
        <w:rPr>
          <w:sz w:val="24"/>
        </w:rPr>
      </w:pPr>
      <w:r>
        <w:rPr>
          <w:sz w:val="24"/>
        </w:rPr>
        <w:t>校准后，出具校准证书，校准证书所包含的信息应满足JJF 1071—2010《国家计量校准规范编写规则》中5.12要求，至少包括以下信息：</w:t>
      </w:r>
    </w:p>
    <w:p w14:paraId="5CBE56FC">
      <w:pPr>
        <w:tabs>
          <w:tab w:val="left" w:pos="3880"/>
        </w:tabs>
        <w:autoSpaceDE w:val="0"/>
        <w:autoSpaceDN w:val="0"/>
        <w:adjustRightInd w:val="0"/>
        <w:spacing w:line="360" w:lineRule="auto"/>
        <w:ind w:right="-20" w:firstLine="480" w:firstLineChars="200"/>
        <w:jc w:val="left"/>
        <w:rPr>
          <w:sz w:val="24"/>
        </w:rPr>
      </w:pPr>
      <w:r>
        <w:rPr>
          <w:sz w:val="24"/>
        </w:rPr>
        <w:t>a）标题</w:t>
      </w:r>
      <w:r>
        <w:rPr>
          <w:rFonts w:hint="eastAsia"/>
          <w:sz w:val="24"/>
        </w:rPr>
        <w:t>“</w:t>
      </w:r>
      <w:r>
        <w:rPr>
          <w:sz w:val="24"/>
        </w:rPr>
        <w:t>校准证书</w:t>
      </w:r>
      <w:r>
        <w:rPr>
          <w:rFonts w:hint="eastAsia"/>
          <w:sz w:val="24"/>
        </w:rPr>
        <w:t>”</w:t>
      </w:r>
      <w:r>
        <w:rPr>
          <w:sz w:val="24"/>
        </w:rPr>
        <w:t xml:space="preserve"> ；</w:t>
      </w:r>
    </w:p>
    <w:p w14:paraId="1AA9EC93">
      <w:pPr>
        <w:tabs>
          <w:tab w:val="left" w:pos="3880"/>
        </w:tabs>
        <w:autoSpaceDE w:val="0"/>
        <w:autoSpaceDN w:val="0"/>
        <w:adjustRightInd w:val="0"/>
        <w:spacing w:line="360" w:lineRule="auto"/>
        <w:ind w:right="-20" w:firstLine="480" w:firstLineChars="200"/>
        <w:jc w:val="left"/>
        <w:rPr>
          <w:sz w:val="24"/>
        </w:rPr>
      </w:pPr>
      <w:r>
        <w:rPr>
          <w:sz w:val="24"/>
        </w:rPr>
        <w:t>b）实验室名称和地址；</w:t>
      </w:r>
    </w:p>
    <w:p w14:paraId="2A69F9F1">
      <w:pPr>
        <w:tabs>
          <w:tab w:val="left" w:pos="3880"/>
        </w:tabs>
        <w:autoSpaceDE w:val="0"/>
        <w:autoSpaceDN w:val="0"/>
        <w:adjustRightInd w:val="0"/>
        <w:spacing w:line="360" w:lineRule="auto"/>
        <w:ind w:right="-20" w:firstLine="480" w:firstLineChars="200"/>
        <w:jc w:val="left"/>
        <w:rPr>
          <w:sz w:val="24"/>
        </w:rPr>
      </w:pPr>
      <w:r>
        <w:rPr>
          <w:sz w:val="24"/>
        </w:rPr>
        <w:t>c）进行校准的地点（如果与实验室的地址不同）；</w:t>
      </w:r>
    </w:p>
    <w:p w14:paraId="6088CE25">
      <w:pPr>
        <w:tabs>
          <w:tab w:val="left" w:pos="3880"/>
        </w:tabs>
        <w:autoSpaceDE w:val="0"/>
        <w:autoSpaceDN w:val="0"/>
        <w:adjustRightInd w:val="0"/>
        <w:spacing w:line="360" w:lineRule="auto"/>
        <w:ind w:right="-20" w:firstLine="480" w:firstLineChars="200"/>
        <w:jc w:val="left"/>
        <w:rPr>
          <w:sz w:val="24"/>
        </w:rPr>
      </w:pPr>
      <w:r>
        <w:rPr>
          <w:sz w:val="24"/>
        </w:rPr>
        <w:t>d）证书或报告的唯一性标识（如编号），每页及总页的标识；</w:t>
      </w:r>
    </w:p>
    <w:p w14:paraId="47A86B95">
      <w:pPr>
        <w:tabs>
          <w:tab w:val="left" w:pos="3880"/>
        </w:tabs>
        <w:autoSpaceDE w:val="0"/>
        <w:autoSpaceDN w:val="0"/>
        <w:adjustRightInd w:val="0"/>
        <w:spacing w:line="360" w:lineRule="auto"/>
        <w:ind w:right="-20" w:firstLine="480" w:firstLineChars="200"/>
        <w:jc w:val="left"/>
        <w:rPr>
          <w:sz w:val="24"/>
        </w:rPr>
      </w:pPr>
      <w:r>
        <w:rPr>
          <w:sz w:val="24"/>
        </w:rPr>
        <w:t>e）客户的名称和地址；</w:t>
      </w:r>
    </w:p>
    <w:p w14:paraId="37AD237F">
      <w:pPr>
        <w:tabs>
          <w:tab w:val="left" w:pos="3880"/>
        </w:tabs>
        <w:autoSpaceDE w:val="0"/>
        <w:autoSpaceDN w:val="0"/>
        <w:adjustRightInd w:val="0"/>
        <w:spacing w:line="360" w:lineRule="auto"/>
        <w:ind w:right="-20" w:firstLine="480" w:firstLineChars="200"/>
        <w:jc w:val="left"/>
        <w:rPr>
          <w:sz w:val="24"/>
        </w:rPr>
      </w:pPr>
      <w:r>
        <w:rPr>
          <w:sz w:val="24"/>
        </w:rPr>
        <w:t>f）被校对象的描述和明确标识；</w:t>
      </w:r>
    </w:p>
    <w:p w14:paraId="1FE0DAB6">
      <w:pPr>
        <w:tabs>
          <w:tab w:val="left" w:pos="3880"/>
        </w:tabs>
        <w:autoSpaceDE w:val="0"/>
        <w:autoSpaceDN w:val="0"/>
        <w:adjustRightInd w:val="0"/>
        <w:spacing w:line="360" w:lineRule="auto"/>
        <w:ind w:right="-20" w:firstLine="480" w:firstLineChars="200"/>
        <w:jc w:val="left"/>
        <w:rPr>
          <w:sz w:val="24"/>
        </w:rPr>
      </w:pPr>
      <w:r>
        <w:rPr>
          <w:sz w:val="24"/>
        </w:rPr>
        <w:t>g）进行校准的日期，如果与校准结果的有效性和应用有关时，应说明被校对象的接收日期；</w:t>
      </w:r>
    </w:p>
    <w:p w14:paraId="6D4ACF94">
      <w:pPr>
        <w:tabs>
          <w:tab w:val="left" w:pos="3880"/>
        </w:tabs>
        <w:autoSpaceDE w:val="0"/>
        <w:autoSpaceDN w:val="0"/>
        <w:adjustRightInd w:val="0"/>
        <w:spacing w:line="360" w:lineRule="auto"/>
        <w:ind w:right="-20" w:firstLine="480" w:firstLineChars="200"/>
        <w:jc w:val="left"/>
        <w:rPr>
          <w:sz w:val="24"/>
        </w:rPr>
      </w:pPr>
      <w:r>
        <w:rPr>
          <w:sz w:val="24"/>
        </w:rPr>
        <w:t>h）校准所依据的技术规范的标识，包括名称及代号；</w:t>
      </w:r>
    </w:p>
    <w:p w14:paraId="5305CF18">
      <w:pPr>
        <w:tabs>
          <w:tab w:val="left" w:pos="3880"/>
        </w:tabs>
        <w:autoSpaceDE w:val="0"/>
        <w:autoSpaceDN w:val="0"/>
        <w:adjustRightInd w:val="0"/>
        <w:spacing w:line="360" w:lineRule="auto"/>
        <w:ind w:right="-20" w:firstLine="480" w:firstLineChars="200"/>
        <w:jc w:val="left"/>
        <w:rPr>
          <w:sz w:val="24"/>
        </w:rPr>
      </w:pPr>
      <w:r>
        <w:rPr>
          <w:sz w:val="24"/>
        </w:rPr>
        <w:t>i）本次校准所用计量标准的溯源性及有效性说明；</w:t>
      </w:r>
    </w:p>
    <w:p w14:paraId="4603E40A">
      <w:pPr>
        <w:tabs>
          <w:tab w:val="left" w:pos="3880"/>
        </w:tabs>
        <w:autoSpaceDE w:val="0"/>
        <w:autoSpaceDN w:val="0"/>
        <w:adjustRightInd w:val="0"/>
        <w:spacing w:line="360" w:lineRule="auto"/>
        <w:ind w:right="-20" w:firstLine="480" w:firstLineChars="200"/>
        <w:jc w:val="left"/>
        <w:rPr>
          <w:sz w:val="24"/>
        </w:rPr>
      </w:pPr>
      <w:r>
        <w:rPr>
          <w:sz w:val="24"/>
        </w:rPr>
        <w:t>j）校准环境的描述；</w:t>
      </w:r>
    </w:p>
    <w:p w14:paraId="6E009AD3">
      <w:pPr>
        <w:tabs>
          <w:tab w:val="left" w:pos="3880"/>
        </w:tabs>
        <w:autoSpaceDE w:val="0"/>
        <w:autoSpaceDN w:val="0"/>
        <w:adjustRightInd w:val="0"/>
        <w:spacing w:line="360" w:lineRule="auto"/>
        <w:ind w:right="-20" w:firstLine="480" w:firstLineChars="200"/>
        <w:jc w:val="left"/>
        <w:rPr>
          <w:sz w:val="24"/>
        </w:rPr>
      </w:pPr>
      <w:r>
        <w:rPr>
          <w:sz w:val="24"/>
        </w:rPr>
        <w:t>k）校准结果及测量不确定度的说明；</w:t>
      </w:r>
    </w:p>
    <w:p w14:paraId="6E3CF574">
      <w:pPr>
        <w:tabs>
          <w:tab w:val="left" w:pos="3880"/>
        </w:tabs>
        <w:autoSpaceDE w:val="0"/>
        <w:autoSpaceDN w:val="0"/>
        <w:adjustRightInd w:val="0"/>
        <w:spacing w:line="360" w:lineRule="auto"/>
        <w:ind w:right="-20" w:firstLine="480" w:firstLineChars="200"/>
        <w:jc w:val="left"/>
        <w:rPr>
          <w:sz w:val="24"/>
        </w:rPr>
      </w:pPr>
      <w:r>
        <w:rPr>
          <w:sz w:val="24"/>
        </w:rPr>
        <w:t>l）对校准规范的偏离的说明；</w:t>
      </w:r>
    </w:p>
    <w:p w14:paraId="52CB201D">
      <w:pPr>
        <w:tabs>
          <w:tab w:val="left" w:pos="3880"/>
        </w:tabs>
        <w:autoSpaceDE w:val="0"/>
        <w:autoSpaceDN w:val="0"/>
        <w:adjustRightInd w:val="0"/>
        <w:spacing w:line="360" w:lineRule="auto"/>
        <w:ind w:right="-20" w:firstLine="480" w:firstLineChars="200"/>
        <w:jc w:val="left"/>
        <w:rPr>
          <w:sz w:val="24"/>
        </w:rPr>
      </w:pPr>
      <w:r>
        <w:rPr>
          <w:sz w:val="24"/>
        </w:rPr>
        <w:t>m）校准证书或校准报告签发人的签名、职务或等效标识；</w:t>
      </w:r>
    </w:p>
    <w:p w14:paraId="06DF1DDD">
      <w:pPr>
        <w:tabs>
          <w:tab w:val="left" w:pos="3880"/>
        </w:tabs>
        <w:autoSpaceDE w:val="0"/>
        <w:autoSpaceDN w:val="0"/>
        <w:adjustRightInd w:val="0"/>
        <w:spacing w:line="360" w:lineRule="auto"/>
        <w:ind w:right="-20" w:firstLine="480" w:firstLineChars="200"/>
        <w:jc w:val="left"/>
        <w:rPr>
          <w:sz w:val="24"/>
        </w:rPr>
      </w:pPr>
      <w:r>
        <w:rPr>
          <w:sz w:val="24"/>
        </w:rPr>
        <w:t>n）校准结果仅对被校对象有效的声明；</w:t>
      </w:r>
    </w:p>
    <w:p w14:paraId="4F55A0CE">
      <w:pPr>
        <w:tabs>
          <w:tab w:val="left" w:pos="3880"/>
        </w:tabs>
        <w:autoSpaceDE w:val="0"/>
        <w:autoSpaceDN w:val="0"/>
        <w:adjustRightInd w:val="0"/>
        <w:spacing w:line="360" w:lineRule="auto"/>
        <w:ind w:right="-20" w:firstLine="480" w:firstLineChars="200"/>
        <w:jc w:val="left"/>
        <w:rPr>
          <w:sz w:val="24"/>
        </w:rPr>
      </w:pPr>
      <w:r>
        <w:rPr>
          <w:sz w:val="24"/>
        </w:rPr>
        <w:t>o）未经实验室书面批准，不得部分复制证书的声明。</w:t>
      </w:r>
    </w:p>
    <w:p w14:paraId="3F8E7673">
      <w:pPr>
        <w:tabs>
          <w:tab w:val="left" w:pos="3880"/>
        </w:tabs>
        <w:autoSpaceDE w:val="0"/>
        <w:autoSpaceDN w:val="0"/>
        <w:adjustRightInd w:val="0"/>
        <w:spacing w:line="360" w:lineRule="auto"/>
        <w:ind w:right="-20" w:firstLine="480" w:firstLineChars="200"/>
        <w:jc w:val="left"/>
        <w:rPr>
          <w:sz w:val="24"/>
        </w:rPr>
      </w:pPr>
      <w:r>
        <w:rPr>
          <w:sz w:val="24"/>
        </w:rPr>
        <w:t>推荐校准原始记录的内容格式及校准证书内页格式见附录B、附录C。</w:t>
      </w:r>
    </w:p>
    <w:p w14:paraId="062FD57A">
      <w:pPr>
        <w:autoSpaceDE w:val="0"/>
        <w:autoSpaceDN w:val="0"/>
        <w:adjustRightInd w:val="0"/>
        <w:spacing w:line="480" w:lineRule="auto"/>
        <w:jc w:val="left"/>
        <w:rPr>
          <w:rFonts w:eastAsia="黑体"/>
          <w:sz w:val="24"/>
        </w:rPr>
      </w:pPr>
      <w:bookmarkStart w:id="7" w:name="_Toc350158483"/>
      <w:bookmarkStart w:id="8" w:name="_Toc138966986"/>
      <w:bookmarkStart w:id="9" w:name="_Toc353651475"/>
      <w:r>
        <w:rPr>
          <w:rFonts w:eastAsia="黑体"/>
          <w:sz w:val="24"/>
        </w:rPr>
        <w:t>10  复校时间间隔</w:t>
      </w:r>
      <w:bookmarkEnd w:id="7"/>
      <w:bookmarkEnd w:id="8"/>
      <w:bookmarkEnd w:id="9"/>
    </w:p>
    <w:p w14:paraId="53061824">
      <w:pPr>
        <w:spacing w:line="360" w:lineRule="auto"/>
        <w:ind w:firstLine="480" w:firstLineChars="200"/>
        <w:rPr>
          <w:sz w:val="24"/>
        </w:rPr>
      </w:pPr>
      <w:r>
        <w:rPr>
          <w:sz w:val="24"/>
        </w:rPr>
        <w:t>由于复校时间间隔的长短是由仪器的使用情况、使用者、仪器本身质量等诸因素所决定的，因此，送校单位可根据实际使用情况自主决定复校时间间隔，一般建议复校时间为1年。</w:t>
      </w:r>
    </w:p>
    <w:p w14:paraId="712BC67B">
      <w:pPr>
        <w:autoSpaceDE w:val="0"/>
        <w:autoSpaceDN w:val="0"/>
        <w:adjustRightInd w:val="0"/>
        <w:ind w:firstLine="465"/>
        <w:jc w:val="left"/>
        <w:rPr>
          <w:sz w:val="24"/>
        </w:rPr>
      </w:pPr>
    </w:p>
    <w:p w14:paraId="5DCF9150">
      <w:pPr>
        <w:autoSpaceDE w:val="0"/>
        <w:autoSpaceDN w:val="0"/>
        <w:adjustRightInd w:val="0"/>
        <w:jc w:val="left"/>
        <w:rPr>
          <w:sz w:val="24"/>
        </w:rPr>
      </w:pPr>
    </w:p>
    <w:p w14:paraId="6DC856DC">
      <w:pPr>
        <w:autoSpaceDE w:val="0"/>
        <w:autoSpaceDN w:val="0"/>
        <w:adjustRightInd w:val="0"/>
        <w:jc w:val="left"/>
        <w:rPr>
          <w:sz w:val="24"/>
        </w:rPr>
      </w:pPr>
    </w:p>
    <w:p w14:paraId="0B92F693">
      <w:pPr>
        <w:autoSpaceDE w:val="0"/>
        <w:autoSpaceDN w:val="0"/>
        <w:adjustRightInd w:val="0"/>
        <w:jc w:val="left"/>
        <w:rPr>
          <w:sz w:val="24"/>
        </w:rPr>
      </w:pPr>
    </w:p>
    <w:p w14:paraId="460593D3">
      <w:pPr>
        <w:autoSpaceDE w:val="0"/>
        <w:autoSpaceDN w:val="0"/>
        <w:adjustRightInd w:val="0"/>
        <w:jc w:val="left"/>
        <w:rPr>
          <w:sz w:val="24"/>
        </w:rPr>
      </w:pPr>
    </w:p>
    <w:p w14:paraId="019CD390">
      <w:pPr>
        <w:autoSpaceDE w:val="0"/>
        <w:autoSpaceDN w:val="0"/>
        <w:adjustRightInd w:val="0"/>
        <w:jc w:val="left"/>
        <w:rPr>
          <w:sz w:val="24"/>
        </w:rPr>
      </w:pPr>
    </w:p>
    <w:p w14:paraId="09D3A07B">
      <w:pPr>
        <w:autoSpaceDE w:val="0"/>
        <w:autoSpaceDN w:val="0"/>
        <w:adjustRightInd w:val="0"/>
        <w:jc w:val="left"/>
        <w:rPr>
          <w:sz w:val="24"/>
        </w:rPr>
      </w:pPr>
    </w:p>
    <w:p w14:paraId="4D21E748">
      <w:pPr>
        <w:autoSpaceDE w:val="0"/>
        <w:autoSpaceDN w:val="0"/>
        <w:adjustRightInd w:val="0"/>
        <w:jc w:val="left"/>
        <w:rPr>
          <w:sz w:val="24"/>
        </w:rPr>
      </w:pPr>
    </w:p>
    <w:p w14:paraId="6A2DDDB2">
      <w:pPr>
        <w:autoSpaceDE w:val="0"/>
        <w:autoSpaceDN w:val="0"/>
        <w:adjustRightInd w:val="0"/>
        <w:jc w:val="left"/>
        <w:rPr>
          <w:sz w:val="24"/>
        </w:rPr>
      </w:pPr>
    </w:p>
    <w:p w14:paraId="09B8D6D9">
      <w:pPr>
        <w:autoSpaceDE w:val="0"/>
        <w:autoSpaceDN w:val="0"/>
        <w:adjustRightInd w:val="0"/>
        <w:jc w:val="left"/>
        <w:rPr>
          <w:sz w:val="24"/>
        </w:rPr>
      </w:pPr>
    </w:p>
    <w:p w14:paraId="5E461426">
      <w:pPr>
        <w:autoSpaceDE w:val="0"/>
        <w:autoSpaceDN w:val="0"/>
        <w:adjustRightInd w:val="0"/>
        <w:jc w:val="left"/>
        <w:rPr>
          <w:sz w:val="24"/>
        </w:rPr>
      </w:pPr>
    </w:p>
    <w:p w14:paraId="5F23166F">
      <w:pPr>
        <w:autoSpaceDE w:val="0"/>
        <w:autoSpaceDN w:val="0"/>
        <w:adjustRightInd w:val="0"/>
        <w:jc w:val="left"/>
        <w:rPr>
          <w:sz w:val="24"/>
        </w:rPr>
      </w:pPr>
    </w:p>
    <w:p w14:paraId="25DE2FC6">
      <w:pPr>
        <w:autoSpaceDE w:val="0"/>
        <w:autoSpaceDN w:val="0"/>
        <w:adjustRightInd w:val="0"/>
        <w:jc w:val="left"/>
        <w:rPr>
          <w:sz w:val="24"/>
        </w:rPr>
      </w:pPr>
    </w:p>
    <w:p w14:paraId="2B8099F0">
      <w:pPr>
        <w:autoSpaceDE w:val="0"/>
        <w:autoSpaceDN w:val="0"/>
        <w:adjustRightInd w:val="0"/>
        <w:jc w:val="left"/>
        <w:rPr>
          <w:sz w:val="24"/>
        </w:rPr>
      </w:pPr>
    </w:p>
    <w:p w14:paraId="76FD278B">
      <w:pPr>
        <w:autoSpaceDE w:val="0"/>
        <w:autoSpaceDN w:val="0"/>
        <w:adjustRightInd w:val="0"/>
        <w:jc w:val="left"/>
        <w:rPr>
          <w:sz w:val="24"/>
        </w:rPr>
      </w:pPr>
    </w:p>
    <w:p w14:paraId="54C1204D">
      <w:pPr>
        <w:autoSpaceDE w:val="0"/>
        <w:autoSpaceDN w:val="0"/>
        <w:adjustRightInd w:val="0"/>
        <w:jc w:val="left"/>
        <w:rPr>
          <w:sz w:val="24"/>
        </w:rPr>
      </w:pPr>
    </w:p>
    <w:p w14:paraId="40A54C09">
      <w:pPr>
        <w:autoSpaceDE w:val="0"/>
        <w:autoSpaceDN w:val="0"/>
        <w:adjustRightInd w:val="0"/>
        <w:jc w:val="left"/>
        <w:rPr>
          <w:sz w:val="24"/>
        </w:rPr>
      </w:pPr>
    </w:p>
    <w:p w14:paraId="238A8926">
      <w:pPr>
        <w:autoSpaceDE w:val="0"/>
        <w:autoSpaceDN w:val="0"/>
        <w:adjustRightInd w:val="0"/>
        <w:jc w:val="left"/>
        <w:rPr>
          <w:sz w:val="24"/>
        </w:rPr>
      </w:pPr>
    </w:p>
    <w:p w14:paraId="3C52A5C0">
      <w:pPr>
        <w:autoSpaceDE w:val="0"/>
        <w:autoSpaceDN w:val="0"/>
        <w:adjustRightInd w:val="0"/>
        <w:jc w:val="left"/>
        <w:rPr>
          <w:sz w:val="24"/>
        </w:rPr>
      </w:pPr>
    </w:p>
    <w:p w14:paraId="11F3B931">
      <w:pPr>
        <w:autoSpaceDE w:val="0"/>
        <w:autoSpaceDN w:val="0"/>
        <w:adjustRightInd w:val="0"/>
        <w:jc w:val="left"/>
        <w:rPr>
          <w:sz w:val="24"/>
        </w:rPr>
      </w:pPr>
    </w:p>
    <w:p w14:paraId="6AEF05B4">
      <w:pPr>
        <w:autoSpaceDE w:val="0"/>
        <w:autoSpaceDN w:val="0"/>
        <w:adjustRightInd w:val="0"/>
        <w:jc w:val="left"/>
        <w:rPr>
          <w:sz w:val="24"/>
        </w:rPr>
      </w:pPr>
    </w:p>
    <w:p w14:paraId="3C37981D">
      <w:pPr>
        <w:autoSpaceDE w:val="0"/>
        <w:autoSpaceDN w:val="0"/>
        <w:adjustRightInd w:val="0"/>
        <w:jc w:val="left"/>
        <w:rPr>
          <w:sz w:val="24"/>
        </w:rPr>
      </w:pPr>
    </w:p>
    <w:p w14:paraId="2FD600E9">
      <w:pPr>
        <w:autoSpaceDE w:val="0"/>
        <w:autoSpaceDN w:val="0"/>
        <w:adjustRightInd w:val="0"/>
        <w:jc w:val="left"/>
        <w:rPr>
          <w:sz w:val="24"/>
        </w:rPr>
      </w:pPr>
    </w:p>
    <w:p w14:paraId="08FC228B">
      <w:pPr>
        <w:autoSpaceDE w:val="0"/>
        <w:autoSpaceDN w:val="0"/>
        <w:adjustRightInd w:val="0"/>
        <w:jc w:val="left"/>
        <w:rPr>
          <w:sz w:val="24"/>
        </w:rPr>
      </w:pPr>
    </w:p>
    <w:p w14:paraId="2ADB001C">
      <w:pPr>
        <w:autoSpaceDE w:val="0"/>
        <w:autoSpaceDN w:val="0"/>
        <w:adjustRightInd w:val="0"/>
        <w:jc w:val="left"/>
        <w:rPr>
          <w:sz w:val="24"/>
        </w:rPr>
      </w:pPr>
    </w:p>
    <w:p w14:paraId="55327092">
      <w:pPr>
        <w:autoSpaceDE w:val="0"/>
        <w:autoSpaceDN w:val="0"/>
        <w:adjustRightInd w:val="0"/>
        <w:jc w:val="left"/>
        <w:rPr>
          <w:sz w:val="24"/>
        </w:rPr>
      </w:pPr>
    </w:p>
    <w:p w14:paraId="6DBF820F">
      <w:pPr>
        <w:autoSpaceDE w:val="0"/>
        <w:autoSpaceDN w:val="0"/>
        <w:adjustRightInd w:val="0"/>
        <w:jc w:val="left"/>
        <w:rPr>
          <w:sz w:val="24"/>
        </w:rPr>
      </w:pPr>
    </w:p>
    <w:p w14:paraId="377EB082">
      <w:pPr>
        <w:autoSpaceDE w:val="0"/>
        <w:autoSpaceDN w:val="0"/>
        <w:adjustRightInd w:val="0"/>
        <w:jc w:val="left"/>
        <w:rPr>
          <w:sz w:val="24"/>
        </w:rPr>
      </w:pPr>
    </w:p>
    <w:p w14:paraId="74FD9EE1">
      <w:pPr>
        <w:autoSpaceDE w:val="0"/>
        <w:autoSpaceDN w:val="0"/>
        <w:adjustRightInd w:val="0"/>
        <w:jc w:val="left"/>
        <w:rPr>
          <w:rFonts w:eastAsia="黑体"/>
          <w:sz w:val="28"/>
          <w:szCs w:val="28"/>
        </w:rPr>
      </w:pPr>
      <w:r>
        <w:rPr>
          <w:rFonts w:eastAsia="黑体"/>
          <w:sz w:val="28"/>
          <w:szCs w:val="28"/>
        </w:rPr>
        <w:t>附录 A</w:t>
      </w:r>
    </w:p>
    <w:p w14:paraId="25E89C31">
      <w:pPr>
        <w:autoSpaceDE w:val="0"/>
        <w:autoSpaceDN w:val="0"/>
        <w:adjustRightInd w:val="0"/>
        <w:spacing w:line="360" w:lineRule="auto"/>
        <w:jc w:val="center"/>
        <w:rPr>
          <w:rFonts w:eastAsia="黑体"/>
          <w:sz w:val="28"/>
          <w:szCs w:val="28"/>
        </w:rPr>
      </w:pPr>
      <w:r>
        <w:rPr>
          <w:rFonts w:eastAsia="黑体"/>
          <w:sz w:val="28"/>
          <w:szCs w:val="28"/>
        </w:rPr>
        <w:t>电梯加速度测试仪加速度幅值校准结果不确定度评定示例</w:t>
      </w:r>
    </w:p>
    <w:p w14:paraId="2ED1DF6F">
      <w:pPr>
        <w:spacing w:line="360" w:lineRule="auto"/>
        <w:rPr>
          <w:sz w:val="24"/>
        </w:rPr>
      </w:pPr>
      <w:r>
        <w:rPr>
          <w:sz w:val="24"/>
        </w:rPr>
        <w:t>A.1  概述</w:t>
      </w:r>
    </w:p>
    <w:p w14:paraId="10BDC66D">
      <w:pPr>
        <w:spacing w:line="360" w:lineRule="auto"/>
        <w:rPr>
          <w:sz w:val="24"/>
        </w:rPr>
      </w:pPr>
      <w:r>
        <w:rPr>
          <w:sz w:val="24"/>
        </w:rPr>
        <w:t>A.1.1  校准依据</w:t>
      </w:r>
    </w:p>
    <w:p w14:paraId="2CDF4D8F">
      <w:pPr>
        <w:spacing w:line="360" w:lineRule="auto"/>
        <w:ind w:firstLine="480" w:firstLineChars="200"/>
        <w:rPr>
          <w:sz w:val="24"/>
        </w:rPr>
      </w:pPr>
      <w:r>
        <w:rPr>
          <w:sz w:val="24"/>
        </w:rPr>
        <w:t>JJF（皖）XXX─2025电梯加速度测试仪校准规范。</w:t>
      </w:r>
    </w:p>
    <w:p w14:paraId="665501CE">
      <w:pPr>
        <w:spacing w:line="360" w:lineRule="auto"/>
        <w:rPr>
          <w:sz w:val="24"/>
        </w:rPr>
      </w:pPr>
      <w:r>
        <w:rPr>
          <w:sz w:val="24"/>
        </w:rPr>
        <w:t>A.1.2  环境条件</w:t>
      </w:r>
    </w:p>
    <w:p w14:paraId="73D9DE7C">
      <w:pPr>
        <w:spacing w:line="360" w:lineRule="auto"/>
        <w:ind w:firstLine="480" w:firstLineChars="200"/>
        <w:rPr>
          <w:sz w:val="24"/>
        </w:rPr>
      </w:pPr>
      <w:r>
        <w:rPr>
          <w:rFonts w:hint="eastAsia"/>
          <w:sz w:val="24"/>
        </w:rPr>
        <w:t>室温</w:t>
      </w:r>
      <w:r>
        <w:rPr>
          <w:sz w:val="24"/>
        </w:rPr>
        <w:t>：（18～28）</w:t>
      </w:r>
      <w:r>
        <w:rPr>
          <w:rFonts w:ascii="宋体"/>
          <w:sz w:val="24"/>
        </w:rPr>
        <w:t>℃</w:t>
      </w:r>
      <w:r>
        <w:rPr>
          <w:sz w:val="24"/>
        </w:rPr>
        <w:t>，</w:t>
      </w:r>
      <w:r>
        <w:rPr>
          <w:rFonts w:hint="eastAsia"/>
          <w:sz w:val="24"/>
        </w:rPr>
        <w:t>相对</w:t>
      </w:r>
      <w:r>
        <w:rPr>
          <w:sz w:val="24"/>
        </w:rPr>
        <w:t>湿度：不大于75%。</w:t>
      </w:r>
    </w:p>
    <w:p w14:paraId="27A135FB">
      <w:pPr>
        <w:spacing w:line="360" w:lineRule="auto"/>
        <w:rPr>
          <w:sz w:val="24"/>
        </w:rPr>
      </w:pPr>
      <w:r>
        <w:rPr>
          <w:sz w:val="24"/>
        </w:rPr>
        <w:t>A.1.3  测量标准及其他设备</w:t>
      </w:r>
    </w:p>
    <w:p w14:paraId="03F216A9">
      <w:pPr>
        <w:spacing w:line="360" w:lineRule="auto"/>
        <w:ind w:firstLine="480" w:firstLineChars="200"/>
        <w:rPr>
          <w:sz w:val="24"/>
        </w:rPr>
      </w:pPr>
      <w:r>
        <w:rPr>
          <w:sz w:val="24"/>
        </w:rPr>
        <w:t>见本规范表1。</w:t>
      </w:r>
    </w:p>
    <w:p w14:paraId="43A766FA">
      <w:pPr>
        <w:spacing w:line="360" w:lineRule="auto"/>
        <w:rPr>
          <w:sz w:val="24"/>
        </w:rPr>
      </w:pPr>
      <w:r>
        <w:rPr>
          <w:sz w:val="24"/>
        </w:rPr>
        <w:t>A.1.4  被测对象</w:t>
      </w:r>
    </w:p>
    <w:p w14:paraId="6344346E">
      <w:pPr>
        <w:spacing w:line="360" w:lineRule="auto"/>
        <w:ind w:firstLine="480" w:firstLineChars="200"/>
        <w:rPr>
          <w:sz w:val="24"/>
        </w:rPr>
      </w:pPr>
      <w:r>
        <w:rPr>
          <w:sz w:val="24"/>
        </w:rPr>
        <w:t>电梯加速度测试仪</w:t>
      </w:r>
    </w:p>
    <w:p w14:paraId="1812B93E">
      <w:pPr>
        <w:spacing w:line="360" w:lineRule="auto"/>
        <w:rPr>
          <w:sz w:val="24"/>
        </w:rPr>
      </w:pPr>
      <w:r>
        <w:rPr>
          <w:sz w:val="24"/>
        </w:rPr>
        <w:t>A.1.5  测量方法</w:t>
      </w:r>
    </w:p>
    <w:p w14:paraId="54D780C6">
      <w:pPr>
        <w:spacing w:line="360" w:lineRule="auto"/>
        <w:ind w:firstLine="480" w:firstLineChars="200"/>
        <w:rPr>
          <w:sz w:val="24"/>
        </w:rPr>
      </w:pPr>
      <w:r>
        <w:rPr>
          <w:sz w:val="24"/>
        </w:rPr>
        <w:t>按本规范8.2.3方法，对电梯加速度幅值进行校准。</w:t>
      </w:r>
    </w:p>
    <w:p w14:paraId="436507AE">
      <w:pPr>
        <w:spacing w:line="360" w:lineRule="auto"/>
        <w:rPr>
          <w:sz w:val="24"/>
        </w:rPr>
      </w:pPr>
      <w:r>
        <w:rPr>
          <w:sz w:val="24"/>
        </w:rPr>
        <w:t>A.2  测量模型</w:t>
      </w:r>
    </w:p>
    <w:p w14:paraId="03E1934A">
      <w:pPr>
        <w:wordWrap w:val="0"/>
        <w:ind w:firstLine="480" w:firstLineChars="200"/>
        <w:jc w:val="right"/>
        <w:rPr>
          <w:rFonts w:eastAsiaTheme="minorEastAsia"/>
          <w:position w:val="-12"/>
          <w:sz w:val="24"/>
        </w:rPr>
      </w:pPr>
      <w:r>
        <w:rPr>
          <w:rFonts w:eastAsiaTheme="minorEastAsia"/>
          <w:position w:val="-12"/>
          <w:sz w:val="24"/>
        </w:rPr>
        <w:t>示值误差：</w:t>
      </w:r>
      <w:r>
        <w:rPr>
          <w:rFonts w:eastAsiaTheme="minorEastAsia"/>
          <w:position w:val="-12"/>
          <w:sz w:val="24"/>
        </w:rPr>
        <w:object>
          <v:shape id="_x0000_i1035" o:spt="75" type="#_x0000_t75" style="height:18pt;width:51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rFonts w:eastAsiaTheme="minorEastAsia"/>
          <w:position w:val="-12"/>
          <w:sz w:val="24"/>
        </w:rPr>
        <w:t xml:space="preserve">                            （A.1）</w:t>
      </w:r>
    </w:p>
    <w:p w14:paraId="6B0A0789">
      <w:pPr>
        <w:spacing w:line="360" w:lineRule="auto"/>
        <w:ind w:firstLine="480" w:firstLineChars="200"/>
        <w:rPr>
          <w:sz w:val="24"/>
        </w:rPr>
      </w:pPr>
      <w:r>
        <w:rPr>
          <w:sz w:val="24"/>
        </w:rPr>
        <w:t>式中：</w:t>
      </w:r>
      <w:bookmarkStart w:id="10" w:name="_Toc137500561"/>
      <w:bookmarkStart w:id="11" w:name="_Toc137500213"/>
      <w:bookmarkStart w:id="12" w:name="_Toc138533999"/>
    </w:p>
    <w:p w14:paraId="7292817D">
      <w:pPr>
        <w:spacing w:line="360" w:lineRule="auto"/>
        <w:ind w:firstLine="480" w:firstLineChars="200"/>
        <w:rPr>
          <w:sz w:val="24"/>
        </w:rPr>
      </w:pPr>
      <w:r>
        <w:rPr>
          <w:position w:val="-12"/>
          <w:sz w:val="24"/>
        </w:rPr>
        <w:object>
          <v:shape id="_x0000_i1036" o:spt="75" type="#_x0000_t75" style="height:18.75pt;width:11.25pt;" o:ole="t" filled="f" o:preferrelative="t" stroked="f" coordsize="21600,21600">
            <v:path/>
            <v:fill on="f" focussize="0,0"/>
            <v:stroke on="f" joinstyle="miter"/>
            <v:imagedata r:id="rId42" o:title=""/>
            <o:lock v:ext="edit" aspectratio="t"/>
            <w10:wrap type="none"/>
            <w10:anchorlock/>
          </v:shape>
          <o:OLEObject Type="Embed" ProgID="Equation.DSMT4" ShapeID="_x0000_i1036" DrawAspect="Content" ObjectID="_1468075736" r:id="rId41">
            <o:LockedField>false</o:LockedField>
          </o:OLEObject>
        </w:object>
      </w:r>
      <w:r>
        <w:rPr>
          <w:spacing w:val="-17"/>
          <w:position w:val="-6"/>
          <w:sz w:val="24"/>
        </w:rPr>
        <w:t xml:space="preserve"> </w:t>
      </w:r>
      <w:r>
        <w:rPr>
          <w:sz w:val="24"/>
        </w:rPr>
        <w:t>——电梯加速度测试仪加速度示值，m/s</w:t>
      </w:r>
      <w:r>
        <w:rPr>
          <w:sz w:val="24"/>
          <w:vertAlign w:val="superscript"/>
        </w:rPr>
        <w:t>2</w:t>
      </w:r>
      <w:r>
        <w:rPr>
          <w:sz w:val="24"/>
        </w:rPr>
        <w:t>；</w:t>
      </w:r>
    </w:p>
    <w:p w14:paraId="6030157F">
      <w:pPr>
        <w:spacing w:line="360" w:lineRule="auto"/>
        <w:ind w:firstLine="453" w:firstLineChars="189"/>
        <w:rPr>
          <w:sz w:val="24"/>
        </w:rPr>
      </w:pPr>
      <w:r>
        <w:rPr>
          <w:position w:val="-12"/>
          <w:sz w:val="24"/>
        </w:rPr>
        <w:object>
          <v:shape id="_x0000_i1037" o:spt="75" type="#_x0000_t75" style="height:21.75pt;width:16.5pt;" o:ole="t" filled="f" o:preferrelative="t" stroked="f" coordsize="21600,21600">
            <v:path/>
            <v:fill on="f" focussize="0,0"/>
            <v:stroke on="f" joinstyle="miter"/>
            <v:imagedata r:id="rId44" o:title=""/>
            <o:lock v:ext="edit" aspectratio="t"/>
            <w10:wrap type="none"/>
            <w10:anchorlock/>
          </v:shape>
          <o:OLEObject Type="Embed" ProgID="Equation.DSMT4" ShapeID="_x0000_i1037" DrawAspect="Content" ObjectID="_1468075737" r:id="rId43">
            <o:LockedField>false</o:LockedField>
          </o:OLEObject>
        </w:object>
      </w:r>
      <w:r>
        <w:rPr>
          <w:sz w:val="24"/>
        </w:rPr>
        <w:t>——振动标准装置给出的加速度标准值，</w:t>
      </w:r>
      <w:bookmarkEnd w:id="10"/>
      <w:bookmarkEnd w:id="11"/>
      <w:bookmarkEnd w:id="12"/>
      <w:r>
        <w:rPr>
          <w:sz w:val="24"/>
        </w:rPr>
        <w:t>m/s</w:t>
      </w:r>
      <w:r>
        <w:rPr>
          <w:sz w:val="24"/>
          <w:vertAlign w:val="superscript"/>
        </w:rPr>
        <w:t>2</w:t>
      </w:r>
      <w:r>
        <w:rPr>
          <w:sz w:val="24"/>
        </w:rPr>
        <w:t>。</w:t>
      </w:r>
    </w:p>
    <w:p w14:paraId="71FFB7CD">
      <w:pPr>
        <w:autoSpaceDE w:val="0"/>
        <w:autoSpaceDN w:val="0"/>
        <w:adjustRightInd w:val="0"/>
        <w:jc w:val="left"/>
        <w:rPr>
          <w:rFonts w:eastAsiaTheme="minorEastAsia"/>
          <w:sz w:val="24"/>
        </w:rPr>
      </w:pPr>
      <w:r>
        <w:rPr>
          <w:rFonts w:eastAsiaTheme="minorEastAsia"/>
          <w:sz w:val="24"/>
        </w:rPr>
        <w:t>A.3 不确定度来源</w:t>
      </w:r>
    </w:p>
    <w:p w14:paraId="11288B12">
      <w:pPr>
        <w:spacing w:line="360" w:lineRule="auto"/>
        <w:ind w:right="105" w:rightChars="50"/>
        <w:rPr>
          <w:sz w:val="24"/>
        </w:rPr>
      </w:pPr>
      <w:r>
        <w:rPr>
          <w:sz w:val="24"/>
        </w:rPr>
        <w:t>（1）测量重复测量性引入的相对标准不确定度</w:t>
      </w:r>
      <w:r>
        <w:rPr>
          <w:i/>
          <w:position w:val="-10"/>
          <w:sz w:val="24"/>
        </w:rPr>
        <w:object>
          <v:shape id="_x0000_i1038" o:spt="75" type="#_x0000_t75" style="height:15pt;width:12pt;" o:ole="t" filled="f" o:preferrelative="t" stroked="f" coordsize="21600,21600">
            <v:path/>
            <v:fill on="f" focussize="0,0"/>
            <v:stroke on="f" joinstyle="miter"/>
            <v:imagedata r:id="rId46" o:title=""/>
            <o:lock v:ext="edit" aspectratio="t"/>
            <w10:wrap type="none"/>
            <w10:anchorlock/>
          </v:shape>
          <o:OLEObject Type="Embed" ProgID="Equation.3" ShapeID="_x0000_i1038" DrawAspect="Content" ObjectID="_1468075738" r:id="rId45">
            <o:LockedField>false</o:LockedField>
          </o:OLEObject>
        </w:object>
      </w:r>
    </w:p>
    <w:p w14:paraId="5C292269">
      <w:pPr>
        <w:spacing w:line="360" w:lineRule="auto"/>
        <w:ind w:right="105" w:rightChars="50"/>
        <w:rPr>
          <w:sz w:val="24"/>
        </w:rPr>
      </w:pPr>
      <w:r>
        <w:rPr>
          <w:sz w:val="24"/>
        </w:rPr>
        <w:t>（2）参考标准加速度计套组校准引入的相对标准不确定度</w:t>
      </w:r>
      <w:r>
        <w:rPr>
          <w:i/>
          <w:position w:val="-10"/>
          <w:sz w:val="24"/>
        </w:rPr>
        <w:object>
          <v:shape id="_x0000_i1039" o:spt="75" type="#_x0000_t75" style="height:15pt;width:12.75pt;" o:ole="t" filled="f" o:preferrelative="t" stroked="f" coordsize="21600,21600">
            <v:path/>
            <v:fill on="f" focussize="0,0"/>
            <v:stroke on="f" joinstyle="miter"/>
            <v:imagedata r:id="rId48" o:title=""/>
            <o:lock v:ext="edit" aspectratio="t"/>
            <w10:wrap type="none"/>
            <w10:anchorlock/>
          </v:shape>
          <o:OLEObject Type="Embed" ProgID="Equation.3" ShapeID="_x0000_i1039" DrawAspect="Content" ObjectID="_1468075739" r:id="rId47">
            <o:LockedField>false</o:LockedField>
          </o:OLEObject>
        </w:object>
      </w:r>
    </w:p>
    <w:p w14:paraId="5557ABAB">
      <w:pPr>
        <w:spacing w:line="360" w:lineRule="auto"/>
        <w:ind w:right="105" w:rightChars="50"/>
        <w:rPr>
          <w:sz w:val="24"/>
        </w:rPr>
      </w:pPr>
      <w:r>
        <w:rPr>
          <w:sz w:val="24"/>
        </w:rPr>
        <w:t>（3）参考标准加速度计灵敏度不稳定性引入的相对标准不确定度</w:t>
      </w:r>
      <w:r>
        <w:rPr>
          <w:i/>
          <w:position w:val="-10"/>
          <w:sz w:val="24"/>
        </w:rPr>
        <w:object>
          <v:shape id="_x0000_i1040" o:spt="75" type="#_x0000_t75" style="height:15pt;width:12.75pt;" o:ole="t" filled="f" o:preferrelative="t" stroked="f" coordsize="21600,21600">
            <v:path/>
            <v:fill on="f" focussize="0,0"/>
            <v:stroke on="f" joinstyle="miter"/>
            <v:imagedata r:id="rId50" o:title=""/>
            <o:lock v:ext="edit" aspectratio="t"/>
            <w10:wrap type="none"/>
            <w10:anchorlock/>
          </v:shape>
          <o:OLEObject Type="Embed" ProgID="Equation.3" ShapeID="_x0000_i1040" DrawAspect="Content" ObjectID="_1468075740" r:id="rId49">
            <o:LockedField>false</o:LockedField>
          </o:OLEObject>
        </w:object>
      </w:r>
    </w:p>
    <w:p w14:paraId="2C57A5EA">
      <w:pPr>
        <w:spacing w:line="360" w:lineRule="auto"/>
        <w:ind w:right="105" w:rightChars="50"/>
        <w:rPr>
          <w:i/>
          <w:sz w:val="24"/>
        </w:rPr>
      </w:pPr>
      <w:r>
        <w:rPr>
          <w:sz w:val="24"/>
        </w:rPr>
        <w:t>（4）电压测量系统引入的相对标准不确定度</w:t>
      </w:r>
      <w:r>
        <w:rPr>
          <w:i/>
          <w:position w:val="-10"/>
          <w:sz w:val="24"/>
        </w:rPr>
        <w:object>
          <v:shape id="_x0000_i1041" o:spt="75" type="#_x0000_t75" style="height:17.25pt;width:14.25pt;" o:ole="t" filled="f" o:preferrelative="t" stroked="f" coordsize="21600,21600">
            <v:path/>
            <v:fill on="f" focussize="0,0"/>
            <v:stroke on="f" joinstyle="miter"/>
            <v:imagedata r:id="rId52" o:title=""/>
            <o:lock v:ext="edit" aspectratio="t"/>
            <w10:wrap type="none"/>
            <w10:anchorlock/>
          </v:shape>
          <o:OLEObject Type="Embed" ProgID="Equation.3" ShapeID="_x0000_i1041" DrawAspect="Content" ObjectID="_1468075741" r:id="rId51">
            <o:LockedField>false</o:LockedField>
          </o:OLEObject>
        </w:object>
      </w:r>
    </w:p>
    <w:p w14:paraId="2A7BC5C5">
      <w:pPr>
        <w:spacing w:line="360" w:lineRule="auto"/>
        <w:ind w:right="105" w:rightChars="50"/>
        <w:rPr>
          <w:i/>
          <w:sz w:val="24"/>
        </w:rPr>
      </w:pPr>
      <w:r>
        <w:rPr>
          <w:sz w:val="24"/>
        </w:rPr>
        <w:t>（5）温度环境影响引入的相对不确定度</w:t>
      </w:r>
      <w:r>
        <w:rPr>
          <w:i/>
          <w:position w:val="-12"/>
          <w:sz w:val="24"/>
        </w:rPr>
        <w:object>
          <v:shape id="_x0000_i1042" o:spt="75" type="#_x0000_t75" style="height:18pt;width:12.75pt;" o:ole="t" filled="f" o:preferrelative="t" stroked="f" coordsize="21600,21600">
            <v:path/>
            <v:fill on="f" focussize="0,0"/>
            <v:stroke on="f" joinstyle="miter"/>
            <v:imagedata r:id="rId54" o:title=""/>
            <o:lock v:ext="edit" aspectratio="t"/>
            <w10:wrap type="none"/>
            <w10:anchorlock/>
          </v:shape>
          <o:OLEObject Type="Embed" ProgID="Equation.3" ShapeID="_x0000_i1042" DrawAspect="Content" ObjectID="_1468075742" r:id="rId53">
            <o:LockedField>false</o:LockedField>
          </o:OLEObject>
        </w:object>
      </w:r>
    </w:p>
    <w:p w14:paraId="5F744A90">
      <w:pPr>
        <w:spacing w:line="360" w:lineRule="auto"/>
        <w:ind w:right="105" w:rightChars="50"/>
        <w:rPr>
          <w:i/>
          <w:sz w:val="24"/>
        </w:rPr>
      </w:pPr>
      <w:r>
        <w:rPr>
          <w:sz w:val="24"/>
        </w:rPr>
        <w:t>（6）基座应变、磁场、安装扭矩和其他环境因素引入的相对标准不确定度</w:t>
      </w:r>
      <w:r>
        <w:rPr>
          <w:i/>
          <w:position w:val="-12"/>
          <w:sz w:val="24"/>
        </w:rPr>
        <w:object>
          <v:shape id="_x0000_i1043" o:spt="75" type="#_x0000_t75" style="height:18pt;width:14.25pt;" o:ole="t" filled="f" o:preferrelative="t" stroked="f" coordsize="21600,21600">
            <v:path/>
            <v:fill on="f" focussize="0,0"/>
            <v:stroke on="f" joinstyle="miter"/>
            <v:imagedata r:id="rId56" o:title=""/>
            <o:lock v:ext="edit" aspectratio="t"/>
            <w10:wrap type="none"/>
            <w10:anchorlock/>
          </v:shape>
          <o:OLEObject Type="Embed" ProgID="Equation.3" ShapeID="_x0000_i1043" DrawAspect="Content" ObjectID="_1468075743" r:id="rId55">
            <o:LockedField>false</o:LockedField>
          </o:OLEObject>
        </w:object>
      </w:r>
    </w:p>
    <w:p w14:paraId="2D0431A2">
      <w:pPr>
        <w:spacing w:line="360" w:lineRule="auto"/>
        <w:ind w:right="105" w:rightChars="50"/>
        <w:rPr>
          <w:i/>
          <w:sz w:val="24"/>
        </w:rPr>
      </w:pPr>
      <w:r>
        <w:rPr>
          <w:sz w:val="24"/>
        </w:rPr>
        <w:t>（7）振动台台面横向振动引入的相对标准不确定度</w:t>
      </w:r>
      <w:r>
        <w:rPr>
          <w:i/>
          <w:position w:val="-12"/>
          <w:sz w:val="24"/>
        </w:rPr>
        <w:object>
          <v:shape id="_x0000_i1044" o:spt="75" type="#_x0000_t75" style="height:18pt;width:14.25pt;" o:ole="t" filled="f" o:preferrelative="t" stroked="f" coordsize="21600,21600">
            <v:path/>
            <v:fill on="f" focussize="0,0"/>
            <v:stroke on="f" joinstyle="miter"/>
            <v:imagedata r:id="rId58" o:title=""/>
            <o:lock v:ext="edit" aspectratio="t"/>
            <w10:wrap type="none"/>
            <w10:anchorlock/>
          </v:shape>
          <o:OLEObject Type="Embed" ProgID="Equation.3" ShapeID="_x0000_i1044" DrawAspect="Content" ObjectID="_1468075744" r:id="rId57">
            <o:LockedField>false</o:LockedField>
          </o:OLEObject>
        </w:object>
      </w:r>
    </w:p>
    <w:p w14:paraId="67501511">
      <w:pPr>
        <w:autoSpaceDE w:val="0"/>
        <w:autoSpaceDN w:val="0"/>
        <w:adjustRightInd w:val="0"/>
        <w:jc w:val="left"/>
        <w:rPr>
          <w:rFonts w:eastAsiaTheme="minorEastAsia"/>
          <w:sz w:val="24"/>
        </w:rPr>
      </w:pPr>
      <w:r>
        <w:rPr>
          <w:rFonts w:eastAsiaTheme="minorEastAsia"/>
          <w:sz w:val="24"/>
        </w:rPr>
        <w:t>A.4 标准不确定度的评定</w:t>
      </w:r>
    </w:p>
    <w:p w14:paraId="1F8942AF">
      <w:pPr>
        <w:spacing w:line="360" w:lineRule="auto"/>
        <w:ind w:right="105" w:rightChars="50"/>
        <w:rPr>
          <w:i/>
          <w:sz w:val="24"/>
        </w:rPr>
      </w:pPr>
      <w:r>
        <w:rPr>
          <w:sz w:val="24"/>
        </w:rPr>
        <w:t>A.4.1测量重复测量性引入的相对标准不确定度</w:t>
      </w:r>
      <w:r>
        <w:rPr>
          <w:i/>
          <w:position w:val="-10"/>
          <w:sz w:val="24"/>
        </w:rPr>
        <w:object>
          <v:shape id="_x0000_i1045" o:spt="75" type="#_x0000_t75" style="height:15pt;width:12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59">
            <o:LockedField>false</o:LockedField>
          </o:OLEObject>
        </w:object>
      </w:r>
    </w:p>
    <w:p w14:paraId="1D19FD17">
      <w:pPr>
        <w:pStyle w:val="79"/>
        <w:spacing w:line="360" w:lineRule="auto"/>
        <w:ind w:firstLine="141" w:firstLineChars="59"/>
        <w:jc w:val="left"/>
        <w:rPr>
          <w:sz w:val="24"/>
        </w:rPr>
      </w:pPr>
      <w:r>
        <w:rPr>
          <w:sz w:val="24"/>
        </w:rPr>
        <w:t xml:space="preserve">   在参考点频率为8 Hz，参考振级1 m/s</w:t>
      </w:r>
      <w:r>
        <w:rPr>
          <w:sz w:val="24"/>
          <w:vertAlign w:val="superscript"/>
        </w:rPr>
        <w:t>2</w:t>
      </w:r>
      <w:r>
        <w:rPr>
          <w:sz w:val="24"/>
        </w:rPr>
        <w:t>，重复测量10次，校准结果见表A.1。</w:t>
      </w:r>
    </w:p>
    <w:p w14:paraId="72125DA1">
      <w:pPr>
        <w:pStyle w:val="79"/>
        <w:spacing w:line="360" w:lineRule="auto"/>
        <w:ind w:firstLine="420" w:firstLineChars="200"/>
        <w:jc w:val="center"/>
        <w:rPr>
          <w:rFonts w:eastAsia="黑体"/>
          <w:bCs/>
        </w:rPr>
      </w:pPr>
      <w:r>
        <w:rPr>
          <w:rFonts w:eastAsia="黑体"/>
          <w:bCs/>
        </w:rPr>
        <w:t>表A.1   单次测量值</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876"/>
        <w:gridCol w:w="876"/>
        <w:gridCol w:w="876"/>
        <w:gridCol w:w="876"/>
        <w:gridCol w:w="876"/>
        <w:gridCol w:w="756"/>
        <w:gridCol w:w="756"/>
        <w:gridCol w:w="756"/>
        <w:gridCol w:w="756"/>
        <w:gridCol w:w="756"/>
      </w:tblGrid>
      <w:tr w14:paraId="69AD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4" w:type="dxa"/>
            <w:vAlign w:val="center"/>
          </w:tcPr>
          <w:p w14:paraId="36189C45">
            <w:pPr>
              <w:pStyle w:val="79"/>
              <w:spacing w:line="360" w:lineRule="auto"/>
              <w:jc w:val="center"/>
              <w:rPr>
                <w:sz w:val="24"/>
              </w:rPr>
            </w:pPr>
            <w:r>
              <w:rPr>
                <w:sz w:val="24"/>
              </w:rPr>
              <w:t>序号</w:t>
            </w:r>
          </w:p>
        </w:tc>
        <w:tc>
          <w:tcPr>
            <w:tcW w:w="876" w:type="dxa"/>
            <w:vAlign w:val="center"/>
          </w:tcPr>
          <w:p w14:paraId="00DFE03C">
            <w:pPr>
              <w:pStyle w:val="79"/>
              <w:spacing w:line="360" w:lineRule="auto"/>
              <w:jc w:val="center"/>
              <w:rPr>
                <w:sz w:val="24"/>
              </w:rPr>
            </w:pPr>
            <w:r>
              <w:rPr>
                <w:sz w:val="24"/>
              </w:rPr>
              <w:t>1</w:t>
            </w:r>
          </w:p>
        </w:tc>
        <w:tc>
          <w:tcPr>
            <w:tcW w:w="876" w:type="dxa"/>
            <w:vAlign w:val="center"/>
          </w:tcPr>
          <w:p w14:paraId="77775BC0">
            <w:pPr>
              <w:pStyle w:val="79"/>
              <w:spacing w:line="360" w:lineRule="auto"/>
              <w:jc w:val="center"/>
              <w:rPr>
                <w:sz w:val="24"/>
              </w:rPr>
            </w:pPr>
            <w:r>
              <w:rPr>
                <w:sz w:val="24"/>
              </w:rPr>
              <w:t>2</w:t>
            </w:r>
          </w:p>
        </w:tc>
        <w:tc>
          <w:tcPr>
            <w:tcW w:w="876" w:type="dxa"/>
            <w:vAlign w:val="center"/>
          </w:tcPr>
          <w:p w14:paraId="10A38A20">
            <w:pPr>
              <w:pStyle w:val="79"/>
              <w:spacing w:line="360" w:lineRule="auto"/>
              <w:jc w:val="center"/>
              <w:rPr>
                <w:sz w:val="24"/>
              </w:rPr>
            </w:pPr>
            <w:r>
              <w:rPr>
                <w:sz w:val="24"/>
              </w:rPr>
              <w:t>3</w:t>
            </w:r>
          </w:p>
        </w:tc>
        <w:tc>
          <w:tcPr>
            <w:tcW w:w="876" w:type="dxa"/>
            <w:vAlign w:val="center"/>
          </w:tcPr>
          <w:p w14:paraId="1811CB2C">
            <w:pPr>
              <w:pStyle w:val="79"/>
              <w:spacing w:line="360" w:lineRule="auto"/>
              <w:jc w:val="center"/>
              <w:rPr>
                <w:sz w:val="24"/>
              </w:rPr>
            </w:pPr>
            <w:r>
              <w:rPr>
                <w:sz w:val="24"/>
              </w:rPr>
              <w:t>4</w:t>
            </w:r>
          </w:p>
        </w:tc>
        <w:tc>
          <w:tcPr>
            <w:tcW w:w="876" w:type="dxa"/>
            <w:vAlign w:val="center"/>
          </w:tcPr>
          <w:p w14:paraId="47FABDE5">
            <w:pPr>
              <w:pStyle w:val="79"/>
              <w:spacing w:line="360" w:lineRule="auto"/>
              <w:jc w:val="center"/>
              <w:rPr>
                <w:sz w:val="24"/>
              </w:rPr>
            </w:pPr>
            <w:r>
              <w:rPr>
                <w:sz w:val="24"/>
              </w:rPr>
              <w:t>5</w:t>
            </w:r>
          </w:p>
        </w:tc>
        <w:tc>
          <w:tcPr>
            <w:tcW w:w="756" w:type="dxa"/>
            <w:vAlign w:val="center"/>
          </w:tcPr>
          <w:p w14:paraId="5ECFEE76">
            <w:pPr>
              <w:pStyle w:val="79"/>
              <w:spacing w:line="360" w:lineRule="auto"/>
              <w:jc w:val="center"/>
              <w:rPr>
                <w:sz w:val="24"/>
              </w:rPr>
            </w:pPr>
            <w:r>
              <w:rPr>
                <w:sz w:val="24"/>
              </w:rPr>
              <w:t>6</w:t>
            </w:r>
          </w:p>
        </w:tc>
        <w:tc>
          <w:tcPr>
            <w:tcW w:w="756" w:type="dxa"/>
          </w:tcPr>
          <w:p w14:paraId="48400D2D">
            <w:pPr>
              <w:pStyle w:val="79"/>
              <w:spacing w:line="360" w:lineRule="auto"/>
              <w:jc w:val="center"/>
              <w:rPr>
                <w:sz w:val="24"/>
              </w:rPr>
            </w:pPr>
            <w:r>
              <w:rPr>
                <w:rFonts w:hint="eastAsia"/>
                <w:sz w:val="24"/>
              </w:rPr>
              <w:t>7</w:t>
            </w:r>
          </w:p>
        </w:tc>
        <w:tc>
          <w:tcPr>
            <w:tcW w:w="756" w:type="dxa"/>
          </w:tcPr>
          <w:p w14:paraId="22388508">
            <w:pPr>
              <w:pStyle w:val="79"/>
              <w:spacing w:line="360" w:lineRule="auto"/>
              <w:jc w:val="center"/>
              <w:rPr>
                <w:sz w:val="24"/>
              </w:rPr>
            </w:pPr>
            <w:r>
              <w:rPr>
                <w:rFonts w:hint="eastAsia"/>
                <w:sz w:val="24"/>
              </w:rPr>
              <w:t>8</w:t>
            </w:r>
          </w:p>
        </w:tc>
        <w:tc>
          <w:tcPr>
            <w:tcW w:w="756" w:type="dxa"/>
          </w:tcPr>
          <w:p w14:paraId="57795C3A">
            <w:pPr>
              <w:pStyle w:val="79"/>
              <w:spacing w:line="360" w:lineRule="auto"/>
              <w:jc w:val="center"/>
              <w:rPr>
                <w:sz w:val="24"/>
              </w:rPr>
            </w:pPr>
            <w:r>
              <w:rPr>
                <w:rFonts w:hint="eastAsia"/>
                <w:sz w:val="24"/>
              </w:rPr>
              <w:t>9</w:t>
            </w:r>
          </w:p>
        </w:tc>
        <w:tc>
          <w:tcPr>
            <w:tcW w:w="756" w:type="dxa"/>
          </w:tcPr>
          <w:p w14:paraId="64617ED2">
            <w:pPr>
              <w:pStyle w:val="79"/>
              <w:spacing w:line="360" w:lineRule="auto"/>
              <w:jc w:val="center"/>
              <w:rPr>
                <w:sz w:val="24"/>
              </w:rPr>
            </w:pPr>
            <w:r>
              <w:rPr>
                <w:rFonts w:hint="eastAsia"/>
                <w:sz w:val="24"/>
              </w:rPr>
              <w:t>10</w:t>
            </w:r>
          </w:p>
        </w:tc>
      </w:tr>
      <w:tr w14:paraId="34598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4" w:type="dxa"/>
            <w:vAlign w:val="center"/>
          </w:tcPr>
          <w:p w14:paraId="41AB9C5C">
            <w:pPr>
              <w:pStyle w:val="79"/>
              <w:spacing w:line="360" w:lineRule="auto"/>
              <w:jc w:val="center"/>
              <w:rPr>
                <w:sz w:val="24"/>
              </w:rPr>
            </w:pPr>
            <w:r>
              <w:rPr>
                <w:rFonts w:eastAsia="仿宋_GB2312"/>
                <w:sz w:val="24"/>
              </w:rPr>
              <w:t>m/s</w:t>
            </w:r>
            <w:r>
              <w:rPr>
                <w:rFonts w:eastAsia="仿宋_GB2312"/>
                <w:sz w:val="24"/>
                <w:vertAlign w:val="superscript"/>
              </w:rPr>
              <w:t>2</w:t>
            </w:r>
          </w:p>
        </w:tc>
        <w:tc>
          <w:tcPr>
            <w:tcW w:w="876" w:type="dxa"/>
            <w:vAlign w:val="center"/>
          </w:tcPr>
          <w:p w14:paraId="2285CD50">
            <w:pPr>
              <w:pStyle w:val="79"/>
              <w:spacing w:line="360" w:lineRule="auto"/>
              <w:jc w:val="center"/>
              <w:rPr>
                <w:sz w:val="24"/>
              </w:rPr>
            </w:pPr>
            <w:r>
              <w:rPr>
                <w:sz w:val="24"/>
              </w:rPr>
              <w:t>1.00</w:t>
            </w:r>
            <w:r>
              <w:rPr>
                <w:rFonts w:hint="eastAsia"/>
                <w:sz w:val="24"/>
              </w:rPr>
              <w:t>9</w:t>
            </w:r>
          </w:p>
        </w:tc>
        <w:tc>
          <w:tcPr>
            <w:tcW w:w="876" w:type="dxa"/>
            <w:vAlign w:val="center"/>
          </w:tcPr>
          <w:p w14:paraId="018D3C99">
            <w:pPr>
              <w:pStyle w:val="79"/>
              <w:spacing w:line="360" w:lineRule="auto"/>
              <w:jc w:val="center"/>
              <w:rPr>
                <w:sz w:val="24"/>
              </w:rPr>
            </w:pPr>
            <w:r>
              <w:rPr>
                <w:sz w:val="24"/>
              </w:rPr>
              <w:t>0.996</w:t>
            </w:r>
          </w:p>
        </w:tc>
        <w:tc>
          <w:tcPr>
            <w:tcW w:w="876" w:type="dxa"/>
            <w:vAlign w:val="center"/>
          </w:tcPr>
          <w:p w14:paraId="321E4028">
            <w:pPr>
              <w:pStyle w:val="79"/>
              <w:spacing w:line="360" w:lineRule="auto"/>
              <w:jc w:val="center"/>
              <w:rPr>
                <w:sz w:val="24"/>
              </w:rPr>
            </w:pPr>
            <w:r>
              <w:rPr>
                <w:sz w:val="24"/>
              </w:rPr>
              <w:t>1.006</w:t>
            </w:r>
          </w:p>
        </w:tc>
        <w:tc>
          <w:tcPr>
            <w:tcW w:w="876" w:type="dxa"/>
            <w:vAlign w:val="center"/>
          </w:tcPr>
          <w:p w14:paraId="64D2F0C3">
            <w:pPr>
              <w:pStyle w:val="79"/>
              <w:spacing w:line="360" w:lineRule="auto"/>
              <w:jc w:val="center"/>
              <w:rPr>
                <w:sz w:val="24"/>
              </w:rPr>
            </w:pPr>
            <w:r>
              <w:rPr>
                <w:sz w:val="24"/>
              </w:rPr>
              <w:t>1.005</w:t>
            </w:r>
          </w:p>
        </w:tc>
        <w:tc>
          <w:tcPr>
            <w:tcW w:w="876" w:type="dxa"/>
            <w:vAlign w:val="center"/>
          </w:tcPr>
          <w:p w14:paraId="41FE8323">
            <w:pPr>
              <w:pStyle w:val="79"/>
              <w:spacing w:line="360" w:lineRule="auto"/>
              <w:jc w:val="center"/>
              <w:rPr>
                <w:sz w:val="24"/>
              </w:rPr>
            </w:pPr>
            <w:r>
              <w:rPr>
                <w:sz w:val="24"/>
              </w:rPr>
              <w:t>1.007</w:t>
            </w:r>
          </w:p>
        </w:tc>
        <w:tc>
          <w:tcPr>
            <w:tcW w:w="756" w:type="dxa"/>
            <w:vAlign w:val="center"/>
          </w:tcPr>
          <w:p w14:paraId="54FA8A3C">
            <w:pPr>
              <w:pStyle w:val="79"/>
              <w:spacing w:line="360" w:lineRule="auto"/>
              <w:jc w:val="center"/>
              <w:rPr>
                <w:sz w:val="24"/>
              </w:rPr>
            </w:pPr>
            <w:r>
              <w:rPr>
                <w:rFonts w:hint="eastAsia"/>
                <w:sz w:val="24"/>
              </w:rPr>
              <w:t>0.991</w:t>
            </w:r>
          </w:p>
        </w:tc>
        <w:tc>
          <w:tcPr>
            <w:tcW w:w="756" w:type="dxa"/>
          </w:tcPr>
          <w:p w14:paraId="05C0B45B">
            <w:pPr>
              <w:pStyle w:val="79"/>
              <w:spacing w:line="360" w:lineRule="auto"/>
              <w:jc w:val="center"/>
              <w:rPr>
                <w:sz w:val="24"/>
              </w:rPr>
            </w:pPr>
            <w:r>
              <w:rPr>
                <w:rFonts w:hint="eastAsia"/>
                <w:sz w:val="24"/>
              </w:rPr>
              <w:t>1.005</w:t>
            </w:r>
          </w:p>
        </w:tc>
        <w:tc>
          <w:tcPr>
            <w:tcW w:w="756" w:type="dxa"/>
          </w:tcPr>
          <w:p w14:paraId="075DDDB2">
            <w:pPr>
              <w:pStyle w:val="79"/>
              <w:spacing w:line="360" w:lineRule="auto"/>
              <w:jc w:val="center"/>
              <w:rPr>
                <w:sz w:val="24"/>
              </w:rPr>
            </w:pPr>
            <w:r>
              <w:rPr>
                <w:rFonts w:hint="eastAsia"/>
                <w:sz w:val="24"/>
              </w:rPr>
              <w:t>0.995</w:t>
            </w:r>
          </w:p>
        </w:tc>
        <w:tc>
          <w:tcPr>
            <w:tcW w:w="756" w:type="dxa"/>
          </w:tcPr>
          <w:p w14:paraId="3F979AEB">
            <w:pPr>
              <w:pStyle w:val="79"/>
              <w:spacing w:line="360" w:lineRule="auto"/>
              <w:jc w:val="center"/>
              <w:rPr>
                <w:sz w:val="24"/>
              </w:rPr>
            </w:pPr>
            <w:r>
              <w:rPr>
                <w:rFonts w:hint="eastAsia"/>
                <w:sz w:val="24"/>
              </w:rPr>
              <w:t>0.997</w:t>
            </w:r>
          </w:p>
        </w:tc>
        <w:tc>
          <w:tcPr>
            <w:tcW w:w="756" w:type="dxa"/>
          </w:tcPr>
          <w:p w14:paraId="537B9711">
            <w:pPr>
              <w:pStyle w:val="79"/>
              <w:spacing w:line="360" w:lineRule="auto"/>
              <w:jc w:val="center"/>
              <w:rPr>
                <w:sz w:val="24"/>
              </w:rPr>
            </w:pPr>
            <w:r>
              <w:rPr>
                <w:rFonts w:hint="eastAsia"/>
                <w:sz w:val="24"/>
              </w:rPr>
              <w:t>1.012</w:t>
            </w:r>
          </w:p>
        </w:tc>
      </w:tr>
    </w:tbl>
    <w:p w14:paraId="31170A29">
      <w:pPr>
        <w:spacing w:line="360" w:lineRule="auto"/>
        <w:ind w:firstLine="480" w:firstLineChars="200"/>
        <w:rPr>
          <w:sz w:val="24"/>
        </w:rPr>
      </w:pPr>
      <w:r>
        <w:rPr>
          <w:sz w:val="24"/>
        </w:rPr>
        <w:t xml:space="preserve">其算术平均值：                 </w:t>
      </w:r>
    </w:p>
    <w:p w14:paraId="05D3A61D">
      <w:pPr>
        <w:spacing w:line="360" w:lineRule="auto"/>
        <w:ind w:firstLine="480" w:firstLineChars="200"/>
        <w:jc w:val="center"/>
        <w:rPr>
          <w:sz w:val="24"/>
        </w:rPr>
      </w:pPr>
      <w:r>
        <w:rPr>
          <w:sz w:val="24"/>
        </w:rPr>
        <w:object>
          <v:shape id="_x0000_i1046" o:spt="75" type="#_x0000_t75" style="height:33.75pt;width:57.75pt;" o:ole="t" filled="f" o:preferrelative="t" stroked="f" coordsize="21600,21600">
            <v:path/>
            <v:fill on="f" focussize="0,0"/>
            <v:stroke on="f" joinstyle="miter"/>
            <v:imagedata r:id="rId61" o:title=""/>
            <o:lock v:ext="edit" aspectratio="t"/>
            <w10:wrap type="none"/>
            <w10:anchorlock/>
          </v:shape>
          <o:OLEObject Type="Embed" ProgID="Equation.DSMT4" ShapeID="_x0000_i1046" DrawAspect="Content" ObjectID="_1468075746" r:id="rId60">
            <o:LockedField>false</o:LockedField>
          </o:OLEObject>
        </w:object>
      </w:r>
    </w:p>
    <w:p w14:paraId="55DA59F8">
      <w:pPr>
        <w:spacing w:line="360" w:lineRule="auto"/>
        <w:ind w:firstLine="480" w:firstLineChars="200"/>
        <w:rPr>
          <w:sz w:val="24"/>
        </w:rPr>
      </w:pPr>
      <w:r>
        <w:rPr>
          <w:sz w:val="24"/>
        </w:rPr>
        <w:t>单次实验标准差：</w:t>
      </w:r>
    </w:p>
    <w:p w14:paraId="3A53B4BB">
      <w:pPr>
        <w:spacing w:line="360" w:lineRule="auto"/>
        <w:ind w:firstLine="480" w:firstLineChars="200"/>
        <w:jc w:val="center"/>
        <w:rPr>
          <w:sz w:val="24"/>
        </w:rPr>
      </w:pPr>
      <w:r>
        <w:rPr>
          <w:sz w:val="24"/>
        </w:rPr>
        <w:object>
          <v:shape id="_x0000_i1047" o:spt="75" type="#_x0000_t75" style="height:52.5pt;width:87pt;" o:ole="t" filled="f" o:preferrelative="t" stroked="f" coordsize="21600,21600">
            <v:path/>
            <v:fill on="f" focussize="0,0"/>
            <v:stroke on="f" joinstyle="miter"/>
            <v:imagedata r:id="rId63" o:title=""/>
            <o:lock v:ext="edit" aspectratio="t"/>
            <w10:wrap type="none"/>
            <w10:anchorlock/>
          </v:shape>
          <o:OLEObject Type="Embed" ProgID="Equation.DSMT4" ShapeID="_x0000_i1047" DrawAspect="Content" ObjectID="_1468075747" r:id="rId62">
            <o:LockedField>false</o:LockedField>
          </o:OLEObject>
        </w:object>
      </w:r>
    </w:p>
    <w:p w14:paraId="2F5853C2">
      <w:pPr>
        <w:spacing w:line="360" w:lineRule="auto"/>
        <w:ind w:firstLine="480" w:firstLineChars="200"/>
        <w:rPr>
          <w:sz w:val="24"/>
        </w:rPr>
      </w:pPr>
      <w:r>
        <w:rPr>
          <w:sz w:val="24"/>
        </w:rPr>
        <w:t>重复测量所引入的标准不确定度：</w:t>
      </w:r>
      <w:r>
        <w:rPr>
          <w:rFonts w:hint="eastAsia"/>
          <w:i/>
          <w:sz w:val="24"/>
        </w:rPr>
        <w:t>u</w:t>
      </w:r>
      <w:r>
        <w:rPr>
          <w:rFonts w:hint="eastAsia"/>
          <w:sz w:val="24"/>
          <w:vertAlign w:val="subscript"/>
        </w:rPr>
        <w:t>A</w:t>
      </w:r>
      <w:r>
        <w:rPr>
          <w:rFonts w:hint="eastAsia"/>
          <w:sz w:val="24"/>
        </w:rPr>
        <w:t>=0.0070 m/s</w:t>
      </w:r>
      <w:r>
        <w:rPr>
          <w:rFonts w:hint="eastAsia"/>
          <w:sz w:val="24"/>
          <w:vertAlign w:val="superscript"/>
        </w:rPr>
        <w:t>2</w:t>
      </w:r>
    </w:p>
    <w:p w14:paraId="46774267">
      <w:pPr>
        <w:spacing w:line="360" w:lineRule="auto"/>
        <w:ind w:firstLine="480" w:firstLineChars="200"/>
        <w:rPr>
          <w:sz w:val="24"/>
        </w:rPr>
      </w:pPr>
      <w:r>
        <w:rPr>
          <w:sz w:val="24"/>
        </w:rPr>
        <w:t xml:space="preserve"> 则相对标准不确定度为：</w:t>
      </w:r>
      <w:r>
        <w:rPr>
          <w:position w:val="-24"/>
          <w:sz w:val="24"/>
        </w:rPr>
        <w:object>
          <v:shape id="_x0000_i1048" o:spt="75" type="#_x0000_t75" style="height:31.5pt;width:81.75pt;" o:ole="t" filled="f" o:preferrelative="t" stroked="f" coordsize="21600,21600">
            <v:path/>
            <v:fill on="f" focussize="0,0"/>
            <v:stroke on="f" joinstyle="miter"/>
            <v:imagedata r:id="rId65" o:title=""/>
            <o:lock v:ext="edit" aspectratio="t"/>
            <w10:wrap type="none"/>
            <w10:anchorlock/>
          </v:shape>
          <o:OLEObject Type="Embed" ProgID="Equation.DSMT4" ShapeID="_x0000_i1048" DrawAspect="Content" ObjectID="_1468075748" r:id="rId64">
            <o:LockedField>false</o:LockedField>
          </o:OLEObject>
        </w:object>
      </w:r>
    </w:p>
    <w:p w14:paraId="0C1889C5">
      <w:pPr>
        <w:spacing w:line="360" w:lineRule="auto"/>
        <w:rPr>
          <w:i/>
          <w:sz w:val="24"/>
        </w:rPr>
      </w:pPr>
      <w:r>
        <w:rPr>
          <w:sz w:val="24"/>
        </w:rPr>
        <w:t>A.4.2 参考标准加速度计</w:t>
      </w:r>
      <w:r>
        <w:rPr>
          <w:rFonts w:hint="eastAsia"/>
          <w:sz w:val="24"/>
        </w:rPr>
        <w:t>套组</w:t>
      </w:r>
      <w:r>
        <w:rPr>
          <w:sz w:val="24"/>
        </w:rPr>
        <w:t>校准引入的相对标准不确定度</w:t>
      </w:r>
      <w:r>
        <w:rPr>
          <w:i/>
          <w:position w:val="-10"/>
          <w:sz w:val="24"/>
        </w:rPr>
        <w:object>
          <v:shape id="_x0000_i1049" o:spt="75" type="#_x0000_t75" style="height:15pt;width:12.75pt;" o:ole="t" filled="f" o:preferrelative="t" stroked="f" coordsize="21600,21600">
            <v:path/>
            <v:fill on="f" focussize="0,0"/>
            <v:stroke on="f" joinstyle="miter"/>
            <v:imagedata r:id="rId67" o:title=""/>
            <o:lock v:ext="edit" aspectratio="t"/>
            <w10:wrap type="none"/>
            <w10:anchorlock/>
          </v:shape>
          <o:OLEObject Type="Embed" ProgID="Equation.3" ShapeID="_x0000_i1049" DrawAspect="Content" ObjectID="_1468075749" r:id="rId66">
            <o:LockedField>false</o:LockedField>
          </o:OLEObject>
        </w:object>
      </w:r>
    </w:p>
    <w:p w14:paraId="340417DE">
      <w:pPr>
        <w:spacing w:line="360" w:lineRule="auto"/>
        <w:ind w:firstLine="480" w:firstLineChars="200"/>
        <w:rPr>
          <w:i/>
          <w:sz w:val="24"/>
        </w:rPr>
      </w:pPr>
      <w:r>
        <w:rPr>
          <w:rFonts w:hint="eastAsia"/>
          <w:sz w:val="24"/>
        </w:rPr>
        <w:t>参考标准加速度计相对扩展不确定</w:t>
      </w:r>
      <w:r>
        <w:rPr>
          <w:sz w:val="24"/>
        </w:rPr>
        <w:t>度</w:t>
      </w:r>
      <w:r>
        <w:rPr>
          <w:i/>
          <w:sz w:val="24"/>
        </w:rPr>
        <w:t>U</w:t>
      </w:r>
      <w:r>
        <w:rPr>
          <w:sz w:val="24"/>
          <w:vertAlign w:val="subscript"/>
        </w:rPr>
        <w:t>rel</w:t>
      </w:r>
      <w:r>
        <w:rPr>
          <w:sz w:val="24"/>
        </w:rPr>
        <w:t>=1.0%（</w:t>
      </w:r>
      <w:r>
        <w:rPr>
          <w:i/>
          <w:sz w:val="24"/>
        </w:rPr>
        <w:t>k</w:t>
      </w:r>
      <w:r>
        <w:rPr>
          <w:sz w:val="24"/>
        </w:rPr>
        <w:t>=2），由此引入分量：</w:t>
      </w:r>
    </w:p>
    <w:p w14:paraId="24E8EB6B">
      <w:pPr>
        <w:ind w:left="720" w:hanging="720" w:hangingChars="300"/>
        <w:jc w:val="center"/>
        <w:rPr>
          <w:sz w:val="24"/>
        </w:rPr>
      </w:pPr>
      <w:r>
        <w:rPr>
          <w:position w:val="-24"/>
          <w:sz w:val="24"/>
        </w:rPr>
        <w:object>
          <v:shape id="_x0000_i1050" o:spt="75" type="#_x0000_t75" style="height:30.75pt;width:102pt;" o:ole="t" filled="f" o:preferrelative="t" stroked="f" coordsize="21600,21600">
            <v:path/>
            <v:fill on="f" focussize="0,0"/>
            <v:stroke on="f" joinstyle="miter"/>
            <v:imagedata r:id="rId69" o:title=""/>
            <o:lock v:ext="edit" aspectratio="t"/>
            <w10:wrap type="none"/>
            <w10:anchorlock/>
          </v:shape>
          <o:OLEObject Type="Embed" ProgID="Equation.3" ShapeID="_x0000_i1050" DrawAspect="Content" ObjectID="_1468075750" r:id="rId68">
            <o:LockedField>false</o:LockedField>
          </o:OLEObject>
        </w:object>
      </w:r>
    </w:p>
    <w:p w14:paraId="54A3779F">
      <w:pPr>
        <w:spacing w:line="360" w:lineRule="auto"/>
        <w:ind w:right="105" w:rightChars="50"/>
        <w:rPr>
          <w:i/>
          <w:sz w:val="24"/>
        </w:rPr>
      </w:pPr>
      <w:r>
        <w:rPr>
          <w:sz w:val="24"/>
        </w:rPr>
        <w:t>A.4.3参考标准加速度计灵敏度不稳定性引入的相对标准不确定度</w:t>
      </w:r>
      <w:r>
        <w:rPr>
          <w:i/>
          <w:position w:val="-10"/>
          <w:sz w:val="24"/>
        </w:rPr>
        <w:object>
          <v:shape id="_x0000_i1051" o:spt="75" type="#_x0000_t75" style="height:15pt;width:12.75pt;" o:ole="t" filled="f" o:preferrelative="t" stroked="f" coordsize="21600,21600">
            <v:path/>
            <v:fill on="f" focussize="0,0"/>
            <v:stroke on="f" joinstyle="miter"/>
            <v:imagedata r:id="rId71" o:title=""/>
            <o:lock v:ext="edit" aspectratio="t"/>
            <w10:wrap type="none"/>
            <w10:anchorlock/>
          </v:shape>
          <o:OLEObject Type="Embed" ProgID="Equation.3" ShapeID="_x0000_i1051" DrawAspect="Content" ObjectID="_1468075751" r:id="rId70">
            <o:LockedField>false</o:LockedField>
          </o:OLEObject>
        </w:object>
      </w:r>
    </w:p>
    <w:p w14:paraId="2ED132B1">
      <w:pPr>
        <w:spacing w:line="360" w:lineRule="auto"/>
        <w:ind w:firstLine="480" w:firstLineChars="200"/>
        <w:rPr>
          <w:i/>
          <w:sz w:val="24"/>
        </w:rPr>
      </w:pPr>
      <w:r>
        <w:rPr>
          <w:sz w:val="24"/>
        </w:rPr>
        <w:t>标准加速度计年稳定度由规程JJG 233-2008可知，年稳定度小于0.5%，满足均匀分布，</w:t>
      </w:r>
      <w:bookmarkStart w:id="13" w:name="OLE_LINK2"/>
      <w:bookmarkStart w:id="14" w:name="OLE_LINK1"/>
      <w:r>
        <w:rPr>
          <w:sz w:val="24"/>
        </w:rPr>
        <w:t>其引入的相对标准不确定度分量</w:t>
      </w:r>
      <w:bookmarkEnd w:id="13"/>
      <w:bookmarkEnd w:id="14"/>
      <w:r>
        <w:rPr>
          <w:sz w:val="24"/>
        </w:rPr>
        <w:t>：</w:t>
      </w:r>
    </w:p>
    <w:p w14:paraId="012DECAF">
      <w:pPr>
        <w:ind w:left="720" w:hanging="720" w:hangingChars="300"/>
        <w:jc w:val="center"/>
        <w:rPr>
          <w:sz w:val="24"/>
        </w:rPr>
      </w:pPr>
      <w:r>
        <w:rPr>
          <w:position w:val="-28"/>
          <w:sz w:val="24"/>
        </w:rPr>
        <w:object>
          <v:shape id="_x0000_i1052" o:spt="75" type="#_x0000_t75" style="height:33.75pt;width:100.5pt;" o:ole="t" filled="f" o:preferrelative="t" stroked="f" coordsize="21600,21600">
            <v:path/>
            <v:fill on="f" focussize="0,0"/>
            <v:stroke on="f" joinstyle="miter"/>
            <v:imagedata r:id="rId73" o:title=""/>
            <o:lock v:ext="edit" aspectratio="t"/>
            <w10:wrap type="none"/>
            <w10:anchorlock/>
          </v:shape>
          <o:OLEObject Type="Embed" ProgID="Equation.3" ShapeID="_x0000_i1052" DrawAspect="Content" ObjectID="_1468075752" r:id="rId72">
            <o:LockedField>false</o:LockedField>
          </o:OLEObject>
        </w:object>
      </w:r>
    </w:p>
    <w:p w14:paraId="0577AB7C">
      <w:pPr>
        <w:spacing w:line="360" w:lineRule="auto"/>
        <w:ind w:right="105" w:rightChars="50"/>
        <w:rPr>
          <w:i/>
          <w:sz w:val="24"/>
        </w:rPr>
      </w:pPr>
      <w:r>
        <w:rPr>
          <w:sz w:val="24"/>
        </w:rPr>
        <w:t>A.4.4电压测量系统引入的相对标准不确定度</w:t>
      </w:r>
      <w:r>
        <w:rPr>
          <w:i/>
          <w:position w:val="-10"/>
          <w:sz w:val="24"/>
        </w:rPr>
        <w:object>
          <v:shape id="_x0000_i1053" o:spt="75" type="#_x0000_t75" style="height:17.25pt;width:14.25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74">
            <o:LockedField>false</o:LockedField>
          </o:OLEObject>
        </w:object>
      </w:r>
    </w:p>
    <w:p w14:paraId="52FF6141">
      <w:pPr>
        <w:spacing w:line="360" w:lineRule="auto"/>
        <w:ind w:firstLine="480" w:firstLineChars="200"/>
        <w:rPr>
          <w:sz w:val="24"/>
        </w:rPr>
      </w:pPr>
      <w:r>
        <w:rPr>
          <w:sz w:val="24"/>
        </w:rPr>
        <w:t>电压测量系统最大允许误差不超过±0.2%，满足均匀分布，其引入的相对标准不确定度分量：</w:t>
      </w:r>
    </w:p>
    <w:p w14:paraId="7DBECB27">
      <w:pPr>
        <w:ind w:left="720" w:hanging="720" w:hangingChars="300"/>
        <w:jc w:val="center"/>
        <w:rPr>
          <w:sz w:val="24"/>
        </w:rPr>
      </w:pPr>
      <w:r>
        <w:rPr>
          <w:position w:val="-28"/>
          <w:sz w:val="24"/>
        </w:rPr>
        <w:object>
          <v:shape id="_x0000_i1054" o:spt="75" type="#_x0000_t75" style="height:33.75pt;width:100.5pt;" o:ole="t" filled="f" o:preferrelative="t" stroked="f" coordsize="21600,21600">
            <v:path/>
            <v:fill on="f" focussize="0,0"/>
            <v:stroke on="f" joinstyle="miter"/>
            <v:imagedata r:id="rId76" o:title=""/>
            <o:lock v:ext="edit" aspectratio="t"/>
            <w10:wrap type="none"/>
            <w10:anchorlock/>
          </v:shape>
          <o:OLEObject Type="Embed" ProgID="Equation.3" ShapeID="_x0000_i1054" DrawAspect="Content" ObjectID="_1468075754" r:id="rId75">
            <o:LockedField>false</o:LockedField>
          </o:OLEObject>
        </w:object>
      </w:r>
    </w:p>
    <w:p w14:paraId="6AB1F7E4">
      <w:pPr>
        <w:spacing w:line="360" w:lineRule="auto"/>
        <w:ind w:right="105" w:rightChars="50"/>
        <w:rPr>
          <w:i/>
          <w:sz w:val="24"/>
        </w:rPr>
      </w:pPr>
      <w:r>
        <w:rPr>
          <w:sz w:val="24"/>
        </w:rPr>
        <w:t>A.4.5温度环境影响引入的相对标准不确定度</w:t>
      </w:r>
      <w:r>
        <w:rPr>
          <w:i/>
          <w:position w:val="-12"/>
          <w:sz w:val="24"/>
        </w:rPr>
        <w:object>
          <v:shape id="_x0000_i1055" o:spt="75" type="#_x0000_t75" style="height:18pt;width:12.75pt;" o:ole="t" filled="f" o:preferrelative="t" stroked="f" coordsize="21600,21600">
            <v:path/>
            <v:fill on="f" focussize="0,0"/>
            <v:stroke on="f" joinstyle="miter"/>
            <v:imagedata r:id="rId54" o:title=""/>
            <o:lock v:ext="edit" aspectratio="t"/>
            <w10:wrap type="none"/>
            <w10:anchorlock/>
          </v:shape>
          <o:OLEObject Type="Embed" ProgID="Equation.3" ShapeID="_x0000_i1055" DrawAspect="Content" ObjectID="_1468075755" r:id="rId77">
            <o:LockedField>false</o:LockedField>
          </o:OLEObject>
        </w:object>
      </w:r>
    </w:p>
    <w:p w14:paraId="1EE50834">
      <w:pPr>
        <w:spacing w:line="360" w:lineRule="auto"/>
        <w:ind w:firstLine="480" w:firstLineChars="200"/>
        <w:rPr>
          <w:sz w:val="24"/>
        </w:rPr>
      </w:pPr>
      <w:r>
        <w:rPr>
          <w:sz w:val="24"/>
        </w:rPr>
        <w:t>由环境导致的误差不超过±0.2%，满足均匀分布，其引入的相对标准不确定度分量：</w:t>
      </w:r>
    </w:p>
    <w:p w14:paraId="0D8DA609">
      <w:pPr>
        <w:ind w:left="720" w:hanging="720" w:hangingChars="300"/>
        <w:jc w:val="center"/>
        <w:rPr>
          <w:sz w:val="24"/>
        </w:rPr>
      </w:pPr>
      <w:r>
        <w:rPr>
          <w:position w:val="-28"/>
          <w:sz w:val="24"/>
        </w:rPr>
        <w:object>
          <v:shape id="_x0000_i1056" o:spt="75" type="#_x0000_t75" style="height:33.75pt;width:102pt;" o:ole="t" filled="f" o:preferrelative="t" stroked="f" coordsize="21600,21600">
            <v:path/>
            <v:fill on="f" focussize="0,0"/>
            <v:stroke on="f" joinstyle="miter"/>
            <v:imagedata r:id="rId79" o:title=""/>
            <o:lock v:ext="edit" aspectratio="t"/>
            <w10:wrap type="none"/>
            <w10:anchorlock/>
          </v:shape>
          <o:OLEObject Type="Embed" ProgID="Equation.3" ShapeID="_x0000_i1056" DrawAspect="Content" ObjectID="_1468075756" r:id="rId78">
            <o:LockedField>false</o:LockedField>
          </o:OLEObject>
        </w:object>
      </w:r>
    </w:p>
    <w:p w14:paraId="5C41798A">
      <w:pPr>
        <w:spacing w:line="360" w:lineRule="auto"/>
        <w:ind w:right="105" w:rightChars="50"/>
        <w:rPr>
          <w:i/>
          <w:sz w:val="24"/>
        </w:rPr>
      </w:pPr>
      <w:r>
        <w:rPr>
          <w:sz w:val="24"/>
        </w:rPr>
        <w:t>A.4.6基座应变、磁场、安装扭矩和其他环境因素引入的相对标准不确定度</w:t>
      </w:r>
      <w:r>
        <w:rPr>
          <w:i/>
          <w:position w:val="-12"/>
          <w:sz w:val="24"/>
        </w:rPr>
        <w:object>
          <v:shape id="_x0000_i1057" o:spt="75" type="#_x0000_t75" style="height:18pt;width:14.25pt;" o:ole="t" filled="f" o:preferrelative="t" stroked="f" coordsize="21600,21600">
            <v:path/>
            <v:fill on="f" focussize="0,0"/>
            <v:stroke on="f" joinstyle="miter"/>
            <v:imagedata r:id="rId56" o:title=""/>
            <o:lock v:ext="edit" aspectratio="t"/>
            <w10:wrap type="none"/>
            <w10:anchorlock/>
          </v:shape>
          <o:OLEObject Type="Embed" ProgID="Equation.3" ShapeID="_x0000_i1057" DrawAspect="Content" ObjectID="_1468075757" r:id="rId80">
            <o:LockedField>false</o:LockedField>
          </o:OLEObject>
        </w:object>
      </w:r>
    </w:p>
    <w:p w14:paraId="04A5DDB3">
      <w:pPr>
        <w:spacing w:line="360" w:lineRule="auto"/>
        <w:ind w:firstLine="480" w:firstLineChars="200"/>
        <w:rPr>
          <w:i/>
          <w:sz w:val="24"/>
        </w:rPr>
      </w:pPr>
      <w:r>
        <w:rPr>
          <w:sz w:val="24"/>
        </w:rPr>
        <w:t>传感器安装、基座应变和其他因素引入，估计不超过0.3%，满足均匀分布，其引入的相对标准不确定度分量：</w:t>
      </w:r>
    </w:p>
    <w:p w14:paraId="1691F436">
      <w:pPr>
        <w:ind w:left="720" w:hanging="720" w:hangingChars="300"/>
        <w:jc w:val="center"/>
        <w:rPr>
          <w:sz w:val="24"/>
        </w:rPr>
      </w:pPr>
      <w:r>
        <w:rPr>
          <w:position w:val="-28"/>
          <w:sz w:val="24"/>
        </w:rPr>
        <w:object>
          <v:shape id="_x0000_i1058" o:spt="75" type="#_x0000_t75" style="height:33.75pt;width:101.25pt;" o:ole="t" filled="f" o:preferrelative="t" stroked="f" coordsize="21600,21600">
            <v:path/>
            <v:fill on="f" focussize="0,0"/>
            <v:stroke on="f" joinstyle="miter"/>
            <v:imagedata r:id="rId82" o:title=""/>
            <o:lock v:ext="edit" aspectratio="t"/>
            <w10:wrap type="none"/>
            <w10:anchorlock/>
          </v:shape>
          <o:OLEObject Type="Embed" ProgID="Equation.3" ShapeID="_x0000_i1058" DrawAspect="Content" ObjectID="_1468075758" r:id="rId81">
            <o:LockedField>false</o:LockedField>
          </o:OLEObject>
        </w:object>
      </w:r>
    </w:p>
    <w:p w14:paraId="6BCA1BA9">
      <w:pPr>
        <w:spacing w:line="360" w:lineRule="auto"/>
        <w:ind w:right="105" w:rightChars="50"/>
        <w:rPr>
          <w:sz w:val="24"/>
        </w:rPr>
      </w:pPr>
    </w:p>
    <w:p w14:paraId="267685D7">
      <w:pPr>
        <w:spacing w:line="360" w:lineRule="auto"/>
        <w:ind w:right="105" w:rightChars="50"/>
        <w:rPr>
          <w:i/>
          <w:sz w:val="24"/>
        </w:rPr>
      </w:pPr>
      <w:r>
        <w:rPr>
          <w:sz w:val="24"/>
        </w:rPr>
        <w:t>A.4.7被校加速度计在振动台台面横向振动引入的相对标准不确定度</w:t>
      </w:r>
      <w:r>
        <w:rPr>
          <w:i/>
          <w:position w:val="-12"/>
          <w:sz w:val="24"/>
        </w:rPr>
        <w:object>
          <v:shape id="_x0000_i1059" o:spt="75" type="#_x0000_t75" style="height:18pt;width:14.25pt;" o:ole="t" filled="f" o:preferrelative="t" stroked="f" coordsize="21600,21600">
            <v:path/>
            <v:fill on="f" focussize="0,0"/>
            <v:stroke on="f" joinstyle="miter"/>
            <v:imagedata r:id="rId84" o:title=""/>
            <o:lock v:ext="edit" aspectratio="t"/>
            <w10:wrap type="none"/>
            <w10:anchorlock/>
          </v:shape>
          <o:OLEObject Type="Embed" ProgID="Equation.3" ShapeID="_x0000_i1059" DrawAspect="Content" ObjectID="_1468075759" r:id="rId83">
            <o:LockedField>false</o:LockedField>
          </o:OLEObject>
        </w:object>
      </w:r>
    </w:p>
    <w:p w14:paraId="08288D57">
      <w:pPr>
        <w:spacing w:line="360" w:lineRule="auto"/>
        <w:ind w:right="105" w:rightChars="50" w:firstLine="465"/>
        <w:rPr>
          <w:sz w:val="24"/>
        </w:rPr>
      </w:pPr>
      <w:r>
        <w:rPr>
          <w:sz w:val="24"/>
        </w:rPr>
        <w:t>由JJG 298-2015附录C.6可知，取</w:t>
      </w:r>
    </w:p>
    <w:p w14:paraId="1654C1FE">
      <w:pPr>
        <w:spacing w:line="360" w:lineRule="auto"/>
        <w:ind w:right="105" w:rightChars="50" w:firstLine="465"/>
        <w:jc w:val="center"/>
        <w:rPr>
          <w:sz w:val="24"/>
        </w:rPr>
      </w:pPr>
      <w:r>
        <w:rPr>
          <w:i/>
          <w:position w:val="-12"/>
          <w:sz w:val="24"/>
        </w:rPr>
        <w:object>
          <v:shape id="_x0000_i1060" o:spt="75" type="#_x0000_t75" style="height:18pt;width:14.25pt;" o:ole="t" filled="f" o:preferrelative="t" stroked="f" coordsize="21600,21600">
            <v:path/>
            <v:fill on="f" focussize="0,0"/>
            <v:stroke on="f" joinstyle="miter"/>
            <v:imagedata r:id="rId84" o:title=""/>
            <o:lock v:ext="edit" aspectratio="t"/>
            <w10:wrap type="none"/>
            <w10:anchorlock/>
          </v:shape>
          <o:OLEObject Type="Embed" ProgID="Equation.3" ShapeID="_x0000_i1060" DrawAspect="Content" ObjectID="_1468075760" r:id="rId85">
            <o:LockedField>false</o:LockedField>
          </o:OLEObject>
        </w:object>
      </w:r>
      <w:r>
        <w:rPr>
          <w:sz w:val="24"/>
        </w:rPr>
        <w:t>=0.15%</w:t>
      </w:r>
    </w:p>
    <w:p w14:paraId="286D3734">
      <w:pPr>
        <w:spacing w:line="360" w:lineRule="auto"/>
        <w:rPr>
          <w:sz w:val="24"/>
        </w:rPr>
      </w:pPr>
      <w:r>
        <w:rPr>
          <w:sz w:val="24"/>
        </w:rPr>
        <w:t>A.5 合成标准不确定度</w:t>
      </w:r>
    </w:p>
    <w:p w14:paraId="61C4042F">
      <w:pPr>
        <w:spacing w:line="360" w:lineRule="auto"/>
        <w:jc w:val="left"/>
        <w:rPr>
          <w:sz w:val="24"/>
        </w:rPr>
      </w:pPr>
      <w:r>
        <w:rPr>
          <w:sz w:val="24"/>
        </w:rPr>
        <w:t>A.5.1 主要标准不确定度汇总表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3446"/>
        <w:gridCol w:w="709"/>
        <w:gridCol w:w="708"/>
        <w:gridCol w:w="851"/>
        <w:gridCol w:w="1701"/>
      </w:tblGrid>
      <w:tr w14:paraId="095E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482" w:type="dxa"/>
            <w:vAlign w:val="center"/>
          </w:tcPr>
          <w:p w14:paraId="2CC0E871">
            <w:pPr>
              <w:widowControl/>
              <w:jc w:val="center"/>
              <w:rPr>
                <w:b/>
                <w:kern w:val="0"/>
                <w:szCs w:val="21"/>
              </w:rPr>
            </w:pPr>
            <w:r>
              <w:rPr>
                <w:b/>
                <w:kern w:val="0"/>
                <w:szCs w:val="21"/>
              </w:rPr>
              <w:t>不确定度分量</w:t>
            </w:r>
          </w:p>
        </w:tc>
        <w:tc>
          <w:tcPr>
            <w:tcW w:w="3446" w:type="dxa"/>
            <w:vAlign w:val="center"/>
          </w:tcPr>
          <w:p w14:paraId="4D29796D">
            <w:pPr>
              <w:widowControl/>
              <w:jc w:val="center"/>
              <w:rPr>
                <w:b/>
                <w:kern w:val="0"/>
                <w:szCs w:val="21"/>
              </w:rPr>
            </w:pPr>
            <w:r>
              <w:rPr>
                <w:b/>
                <w:kern w:val="0"/>
                <w:szCs w:val="21"/>
              </w:rPr>
              <w:t>不确定度来源</w:t>
            </w:r>
          </w:p>
        </w:tc>
        <w:tc>
          <w:tcPr>
            <w:tcW w:w="709" w:type="dxa"/>
            <w:vAlign w:val="center"/>
          </w:tcPr>
          <w:p w14:paraId="541B7B22">
            <w:pPr>
              <w:widowControl/>
              <w:jc w:val="center"/>
              <w:rPr>
                <w:b/>
                <w:kern w:val="0"/>
                <w:szCs w:val="21"/>
              </w:rPr>
            </w:pPr>
            <w:r>
              <w:rPr>
                <w:b/>
                <w:kern w:val="0"/>
                <w:szCs w:val="21"/>
              </w:rPr>
              <w:t>评定</w:t>
            </w:r>
          </w:p>
          <w:p w14:paraId="798D232F">
            <w:pPr>
              <w:widowControl/>
              <w:jc w:val="center"/>
              <w:rPr>
                <w:b/>
                <w:kern w:val="0"/>
                <w:szCs w:val="21"/>
              </w:rPr>
            </w:pPr>
            <w:r>
              <w:rPr>
                <w:b/>
                <w:kern w:val="0"/>
                <w:szCs w:val="21"/>
              </w:rPr>
              <w:t>方法</w:t>
            </w:r>
          </w:p>
        </w:tc>
        <w:tc>
          <w:tcPr>
            <w:tcW w:w="708" w:type="dxa"/>
            <w:vAlign w:val="center"/>
          </w:tcPr>
          <w:p w14:paraId="04424489">
            <w:pPr>
              <w:widowControl/>
              <w:jc w:val="center"/>
              <w:rPr>
                <w:b/>
                <w:kern w:val="0"/>
                <w:szCs w:val="21"/>
              </w:rPr>
            </w:pPr>
            <w:r>
              <w:rPr>
                <w:b/>
                <w:kern w:val="0"/>
                <w:szCs w:val="21"/>
              </w:rPr>
              <w:t>分布</w:t>
            </w:r>
          </w:p>
        </w:tc>
        <w:tc>
          <w:tcPr>
            <w:tcW w:w="851" w:type="dxa"/>
            <w:vAlign w:val="center"/>
          </w:tcPr>
          <w:p w14:paraId="22F6E837">
            <w:pPr>
              <w:widowControl/>
              <w:jc w:val="center"/>
              <w:rPr>
                <w:b/>
                <w:kern w:val="0"/>
                <w:szCs w:val="21"/>
              </w:rPr>
            </w:pPr>
            <w:r>
              <w:rPr>
                <w:b/>
                <w:i/>
                <w:kern w:val="0"/>
                <w:szCs w:val="21"/>
              </w:rPr>
              <w:t>k</w:t>
            </w:r>
            <w:r>
              <w:rPr>
                <w:b/>
                <w:kern w:val="0"/>
                <w:szCs w:val="21"/>
              </w:rPr>
              <w:t>值</w:t>
            </w:r>
          </w:p>
        </w:tc>
        <w:tc>
          <w:tcPr>
            <w:tcW w:w="1701" w:type="dxa"/>
            <w:vAlign w:val="center"/>
          </w:tcPr>
          <w:p w14:paraId="5633A959">
            <w:pPr>
              <w:widowControl/>
              <w:jc w:val="center"/>
              <w:rPr>
                <w:b/>
                <w:kern w:val="0"/>
                <w:szCs w:val="21"/>
              </w:rPr>
            </w:pPr>
            <w:r>
              <w:rPr>
                <w:b/>
                <w:kern w:val="0"/>
                <w:szCs w:val="21"/>
              </w:rPr>
              <w:t>相对不确定分量值</w:t>
            </w:r>
            <w:r>
              <w:rPr>
                <w:kern w:val="0"/>
                <w:szCs w:val="21"/>
              </w:rPr>
              <w:t>(%)</w:t>
            </w:r>
          </w:p>
        </w:tc>
      </w:tr>
      <w:tr w14:paraId="1EE0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482" w:type="dxa"/>
            <w:vAlign w:val="center"/>
          </w:tcPr>
          <w:p w14:paraId="09105DDC">
            <w:pPr>
              <w:widowControl/>
              <w:jc w:val="center"/>
              <w:rPr>
                <w:kern w:val="0"/>
                <w:szCs w:val="21"/>
              </w:rPr>
            </w:pPr>
            <w:r>
              <w:rPr>
                <w:i/>
                <w:position w:val="-10"/>
                <w:szCs w:val="21"/>
              </w:rPr>
              <w:object>
                <v:shape id="_x0000_i1061" o:spt="75" type="#_x0000_t75" style="height:17.25pt;width:12pt;" o:ole="t" filled="f" o:preferrelative="t" stroked="f" coordsize="21600,21600">
                  <v:path/>
                  <v:fill on="f" focussize="0,0"/>
                  <v:stroke on="f" joinstyle="miter"/>
                  <v:imagedata r:id="rId87" o:title=""/>
                  <o:lock v:ext="edit" aspectratio="t"/>
                  <w10:wrap type="none"/>
                  <w10:anchorlock/>
                </v:shape>
                <o:OLEObject Type="Embed" ProgID="Equation.3" ShapeID="_x0000_i1061" DrawAspect="Content" ObjectID="_1468075761" r:id="rId86">
                  <o:LockedField>false</o:LockedField>
                </o:OLEObject>
              </w:object>
            </w:r>
          </w:p>
        </w:tc>
        <w:tc>
          <w:tcPr>
            <w:tcW w:w="3446" w:type="dxa"/>
            <w:vAlign w:val="center"/>
          </w:tcPr>
          <w:p w14:paraId="2C37BF12">
            <w:pPr>
              <w:widowControl/>
              <w:jc w:val="center"/>
              <w:rPr>
                <w:kern w:val="0"/>
                <w:szCs w:val="21"/>
              </w:rPr>
            </w:pPr>
            <w:r>
              <w:rPr>
                <w:szCs w:val="21"/>
              </w:rPr>
              <w:t>示值重复性引入</w:t>
            </w:r>
          </w:p>
        </w:tc>
        <w:tc>
          <w:tcPr>
            <w:tcW w:w="709" w:type="dxa"/>
            <w:vAlign w:val="center"/>
          </w:tcPr>
          <w:p w14:paraId="4C8032C2">
            <w:pPr>
              <w:widowControl/>
              <w:jc w:val="center"/>
              <w:rPr>
                <w:kern w:val="0"/>
                <w:szCs w:val="21"/>
              </w:rPr>
            </w:pPr>
            <w:r>
              <w:rPr>
                <w:kern w:val="0"/>
                <w:szCs w:val="21"/>
              </w:rPr>
              <w:t>A</w:t>
            </w:r>
          </w:p>
        </w:tc>
        <w:tc>
          <w:tcPr>
            <w:tcW w:w="708" w:type="dxa"/>
            <w:vAlign w:val="center"/>
          </w:tcPr>
          <w:p w14:paraId="39C33A1F">
            <w:pPr>
              <w:widowControl/>
              <w:jc w:val="center"/>
              <w:rPr>
                <w:kern w:val="0"/>
                <w:szCs w:val="21"/>
              </w:rPr>
            </w:pPr>
            <w:bookmarkStart w:id="15" w:name="OLE_LINK7"/>
            <w:r>
              <w:rPr>
                <w:kern w:val="0"/>
                <w:szCs w:val="21"/>
              </w:rPr>
              <w:t>----</w:t>
            </w:r>
            <w:bookmarkEnd w:id="15"/>
          </w:p>
        </w:tc>
        <w:tc>
          <w:tcPr>
            <w:tcW w:w="851" w:type="dxa"/>
            <w:vAlign w:val="center"/>
          </w:tcPr>
          <w:p w14:paraId="4DC88C73">
            <w:pPr>
              <w:widowControl/>
              <w:jc w:val="center"/>
              <w:rPr>
                <w:kern w:val="0"/>
                <w:szCs w:val="21"/>
              </w:rPr>
            </w:pPr>
            <w:r>
              <w:rPr>
                <w:kern w:val="0"/>
                <w:szCs w:val="21"/>
              </w:rPr>
              <w:t>----</w:t>
            </w:r>
          </w:p>
        </w:tc>
        <w:tc>
          <w:tcPr>
            <w:tcW w:w="1701" w:type="dxa"/>
            <w:vAlign w:val="center"/>
          </w:tcPr>
          <w:p w14:paraId="3A8879F5">
            <w:pPr>
              <w:widowControl/>
              <w:jc w:val="center"/>
              <w:rPr>
                <w:kern w:val="0"/>
                <w:szCs w:val="21"/>
              </w:rPr>
            </w:pPr>
            <w:r>
              <w:rPr>
                <w:kern w:val="0"/>
                <w:szCs w:val="21"/>
              </w:rPr>
              <w:t>0.</w:t>
            </w:r>
            <w:r>
              <w:rPr>
                <w:rFonts w:hint="eastAsia"/>
                <w:kern w:val="0"/>
                <w:szCs w:val="21"/>
              </w:rPr>
              <w:t>70</w:t>
            </w:r>
          </w:p>
        </w:tc>
      </w:tr>
      <w:tr w14:paraId="3CCF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482" w:type="dxa"/>
            <w:vAlign w:val="center"/>
          </w:tcPr>
          <w:p w14:paraId="6DEFAE63">
            <w:pPr>
              <w:widowControl/>
              <w:jc w:val="center"/>
              <w:rPr>
                <w:kern w:val="0"/>
                <w:szCs w:val="21"/>
              </w:rPr>
            </w:pPr>
            <w:r>
              <w:rPr>
                <w:i/>
                <w:position w:val="-10"/>
                <w:szCs w:val="21"/>
              </w:rPr>
              <w:object>
                <v:shape id="_x0000_i1062" o:spt="75" type="#_x0000_t75" style="height:15pt;width:12.75pt;" o:ole="t" filled="f" o:preferrelative="t" stroked="f" coordsize="21600,21600">
                  <v:path/>
                  <v:fill on="f" focussize="0,0"/>
                  <v:stroke on="f" joinstyle="miter"/>
                  <v:imagedata r:id="rId89" o:title=""/>
                  <o:lock v:ext="edit" aspectratio="t"/>
                  <w10:wrap type="none"/>
                  <w10:anchorlock/>
                </v:shape>
                <o:OLEObject Type="Embed" ProgID="Equation.3" ShapeID="_x0000_i1062" DrawAspect="Content" ObjectID="_1468075762" r:id="rId88">
                  <o:LockedField>false</o:LockedField>
                </o:OLEObject>
              </w:object>
            </w:r>
          </w:p>
        </w:tc>
        <w:tc>
          <w:tcPr>
            <w:tcW w:w="3446" w:type="dxa"/>
            <w:vAlign w:val="center"/>
          </w:tcPr>
          <w:p w14:paraId="0CC55499">
            <w:pPr>
              <w:widowControl/>
              <w:jc w:val="center"/>
              <w:rPr>
                <w:kern w:val="0"/>
                <w:szCs w:val="21"/>
              </w:rPr>
            </w:pPr>
            <w:r>
              <w:rPr>
                <w:szCs w:val="21"/>
              </w:rPr>
              <w:t>参考标准加速度计套</w:t>
            </w:r>
            <w:r>
              <w:rPr>
                <w:rFonts w:hint="eastAsia"/>
                <w:szCs w:val="21"/>
              </w:rPr>
              <w:t>组</w:t>
            </w:r>
            <w:r>
              <w:rPr>
                <w:szCs w:val="21"/>
              </w:rPr>
              <w:t>校准引入</w:t>
            </w:r>
          </w:p>
        </w:tc>
        <w:tc>
          <w:tcPr>
            <w:tcW w:w="709" w:type="dxa"/>
            <w:vAlign w:val="center"/>
          </w:tcPr>
          <w:p w14:paraId="71F2B11B">
            <w:pPr>
              <w:widowControl/>
              <w:jc w:val="center"/>
              <w:rPr>
                <w:kern w:val="0"/>
                <w:szCs w:val="21"/>
              </w:rPr>
            </w:pPr>
            <w:r>
              <w:rPr>
                <w:kern w:val="0"/>
                <w:szCs w:val="21"/>
              </w:rPr>
              <w:t>B</w:t>
            </w:r>
          </w:p>
        </w:tc>
        <w:tc>
          <w:tcPr>
            <w:tcW w:w="708" w:type="dxa"/>
            <w:vAlign w:val="center"/>
          </w:tcPr>
          <w:p w14:paraId="6E671AEE">
            <w:pPr>
              <w:widowControl/>
              <w:jc w:val="center"/>
              <w:rPr>
                <w:kern w:val="0"/>
                <w:szCs w:val="21"/>
              </w:rPr>
            </w:pPr>
            <w:r>
              <w:rPr>
                <w:kern w:val="0"/>
                <w:szCs w:val="21"/>
              </w:rPr>
              <w:t>正态</w:t>
            </w:r>
          </w:p>
        </w:tc>
        <w:tc>
          <w:tcPr>
            <w:tcW w:w="851" w:type="dxa"/>
            <w:vAlign w:val="center"/>
          </w:tcPr>
          <w:p w14:paraId="40AB882C">
            <w:pPr>
              <w:widowControl/>
              <w:tabs>
                <w:tab w:val="left" w:pos="720"/>
              </w:tabs>
              <w:jc w:val="center"/>
              <w:rPr>
                <w:kern w:val="0"/>
                <w:szCs w:val="21"/>
              </w:rPr>
            </w:pPr>
            <w:r>
              <w:rPr>
                <w:kern w:val="0"/>
                <w:szCs w:val="21"/>
              </w:rPr>
              <w:t>2</w:t>
            </w:r>
          </w:p>
        </w:tc>
        <w:tc>
          <w:tcPr>
            <w:tcW w:w="1701" w:type="dxa"/>
            <w:vAlign w:val="center"/>
          </w:tcPr>
          <w:p w14:paraId="7615D45D">
            <w:pPr>
              <w:widowControl/>
              <w:jc w:val="center"/>
              <w:rPr>
                <w:kern w:val="0"/>
                <w:szCs w:val="21"/>
              </w:rPr>
            </w:pPr>
            <w:r>
              <w:rPr>
                <w:kern w:val="0"/>
                <w:szCs w:val="21"/>
              </w:rPr>
              <w:t>0.50</w:t>
            </w:r>
          </w:p>
        </w:tc>
      </w:tr>
      <w:tr w14:paraId="59CA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482" w:type="dxa"/>
            <w:vAlign w:val="center"/>
          </w:tcPr>
          <w:p w14:paraId="33341407">
            <w:pPr>
              <w:widowControl/>
              <w:jc w:val="center"/>
              <w:rPr>
                <w:kern w:val="0"/>
                <w:szCs w:val="21"/>
              </w:rPr>
            </w:pPr>
            <w:r>
              <w:rPr>
                <w:i/>
                <w:position w:val="-10"/>
                <w:szCs w:val="21"/>
              </w:rPr>
              <w:object>
                <v:shape id="_x0000_i1063" o:spt="75" type="#_x0000_t75" style="height:15pt;width:12.75pt;" o:ole="t" filled="f" o:preferrelative="t" stroked="f" coordsize="21600,21600">
                  <v:path/>
                  <v:fill on="f" focussize="0,0"/>
                  <v:stroke on="f" joinstyle="miter"/>
                  <v:imagedata r:id="rId91" o:title=""/>
                  <o:lock v:ext="edit" aspectratio="t"/>
                  <w10:wrap type="none"/>
                  <w10:anchorlock/>
                </v:shape>
                <o:OLEObject Type="Embed" ProgID="Equation.3" ShapeID="_x0000_i1063" DrawAspect="Content" ObjectID="_1468075763" r:id="rId90">
                  <o:LockedField>false</o:LockedField>
                </o:OLEObject>
              </w:object>
            </w:r>
          </w:p>
        </w:tc>
        <w:tc>
          <w:tcPr>
            <w:tcW w:w="3446" w:type="dxa"/>
            <w:vAlign w:val="center"/>
          </w:tcPr>
          <w:p w14:paraId="022AE263">
            <w:pPr>
              <w:jc w:val="center"/>
              <w:rPr>
                <w:kern w:val="0"/>
                <w:szCs w:val="21"/>
              </w:rPr>
            </w:pPr>
            <w:r>
              <w:rPr>
                <w:szCs w:val="21"/>
              </w:rPr>
              <w:t>标准加速度计灵敏度不稳定性引入</w:t>
            </w:r>
          </w:p>
        </w:tc>
        <w:tc>
          <w:tcPr>
            <w:tcW w:w="709" w:type="dxa"/>
            <w:vAlign w:val="center"/>
          </w:tcPr>
          <w:p w14:paraId="52C04993">
            <w:pPr>
              <w:widowControl/>
              <w:jc w:val="center"/>
              <w:rPr>
                <w:kern w:val="0"/>
                <w:szCs w:val="21"/>
              </w:rPr>
            </w:pPr>
            <w:r>
              <w:rPr>
                <w:kern w:val="0"/>
                <w:szCs w:val="21"/>
              </w:rPr>
              <w:t>B</w:t>
            </w:r>
          </w:p>
        </w:tc>
        <w:tc>
          <w:tcPr>
            <w:tcW w:w="708" w:type="dxa"/>
            <w:vAlign w:val="center"/>
          </w:tcPr>
          <w:p w14:paraId="38436D50">
            <w:pPr>
              <w:widowControl/>
              <w:jc w:val="center"/>
              <w:rPr>
                <w:kern w:val="0"/>
                <w:szCs w:val="21"/>
              </w:rPr>
            </w:pPr>
            <w:r>
              <w:rPr>
                <w:kern w:val="0"/>
                <w:szCs w:val="21"/>
              </w:rPr>
              <w:t>均匀</w:t>
            </w:r>
          </w:p>
        </w:tc>
        <w:tc>
          <w:tcPr>
            <w:tcW w:w="851" w:type="dxa"/>
            <w:vAlign w:val="center"/>
          </w:tcPr>
          <w:p w14:paraId="771783E1">
            <w:pPr>
              <w:widowControl/>
              <w:jc w:val="center"/>
              <w:rPr>
                <w:kern w:val="0"/>
                <w:szCs w:val="21"/>
              </w:rPr>
            </w:pPr>
            <w:r>
              <w:rPr>
                <w:kern w:val="0"/>
                <w:position w:val="-8"/>
                <w:szCs w:val="21"/>
              </w:rPr>
              <w:object>
                <v:shape id="_x0000_i1064" o:spt="75" type="#_x0000_t75" style="height:15.75pt;width:15.75pt;" o:ole="t" filled="f" o:preferrelative="t" stroked="f" coordsize="21600,21600">
                  <v:path/>
                  <v:fill on="f" focussize="0,0"/>
                  <v:stroke on="f" joinstyle="miter"/>
                  <v:imagedata r:id="rId93" o:title=""/>
                  <o:lock v:ext="edit" aspectratio="t"/>
                  <w10:wrap type="none"/>
                  <w10:anchorlock/>
                </v:shape>
                <o:OLEObject Type="Embed" ProgID="Equation.3" ShapeID="_x0000_i1064" DrawAspect="Content" ObjectID="_1468075764" r:id="rId92">
                  <o:LockedField>false</o:LockedField>
                </o:OLEObject>
              </w:object>
            </w:r>
          </w:p>
        </w:tc>
        <w:tc>
          <w:tcPr>
            <w:tcW w:w="1701" w:type="dxa"/>
            <w:vAlign w:val="center"/>
          </w:tcPr>
          <w:p w14:paraId="78285A4E">
            <w:pPr>
              <w:widowControl/>
              <w:jc w:val="center"/>
              <w:rPr>
                <w:kern w:val="0"/>
                <w:szCs w:val="21"/>
              </w:rPr>
            </w:pPr>
            <w:r>
              <w:rPr>
                <w:kern w:val="0"/>
                <w:szCs w:val="21"/>
              </w:rPr>
              <w:t>0.29</w:t>
            </w:r>
          </w:p>
        </w:tc>
      </w:tr>
      <w:tr w14:paraId="15B6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82" w:type="dxa"/>
            <w:vAlign w:val="center"/>
          </w:tcPr>
          <w:p w14:paraId="694156C3">
            <w:pPr>
              <w:jc w:val="center"/>
              <w:rPr>
                <w:i/>
                <w:szCs w:val="21"/>
              </w:rPr>
            </w:pPr>
            <w:r>
              <w:rPr>
                <w:i/>
                <w:position w:val="-10"/>
                <w:szCs w:val="21"/>
              </w:rPr>
              <w:object>
                <v:shape id="_x0000_i1065" o:spt="75" type="#_x0000_t75" style="height:15pt;width:12.75pt;" o:ole="t" filled="f" o:preferrelative="t" stroked="f" coordsize="21600,21600">
                  <v:path/>
                  <v:fill on="f" focussize="0,0"/>
                  <v:stroke on="f" joinstyle="miter"/>
                  <v:imagedata r:id="rId95" o:title=""/>
                  <o:lock v:ext="edit" aspectratio="t"/>
                  <w10:wrap type="none"/>
                  <w10:anchorlock/>
                </v:shape>
                <o:OLEObject Type="Embed" ProgID="Equation.3" ShapeID="_x0000_i1065" DrawAspect="Content" ObjectID="_1468075765" r:id="rId94">
                  <o:LockedField>false</o:LockedField>
                </o:OLEObject>
              </w:object>
            </w:r>
          </w:p>
        </w:tc>
        <w:tc>
          <w:tcPr>
            <w:tcW w:w="3446" w:type="dxa"/>
            <w:vAlign w:val="center"/>
          </w:tcPr>
          <w:p w14:paraId="57ED7E14">
            <w:pPr>
              <w:jc w:val="center"/>
              <w:rPr>
                <w:szCs w:val="21"/>
              </w:rPr>
            </w:pPr>
            <w:r>
              <w:rPr>
                <w:sz w:val="24"/>
              </w:rPr>
              <w:t>电压测量系统引入</w:t>
            </w:r>
          </w:p>
        </w:tc>
        <w:tc>
          <w:tcPr>
            <w:tcW w:w="709" w:type="dxa"/>
            <w:vAlign w:val="center"/>
          </w:tcPr>
          <w:p w14:paraId="5A1D9449">
            <w:pPr>
              <w:widowControl/>
              <w:jc w:val="center"/>
              <w:rPr>
                <w:kern w:val="0"/>
                <w:szCs w:val="21"/>
              </w:rPr>
            </w:pPr>
            <w:r>
              <w:rPr>
                <w:kern w:val="0"/>
                <w:szCs w:val="21"/>
              </w:rPr>
              <w:t>B</w:t>
            </w:r>
          </w:p>
        </w:tc>
        <w:tc>
          <w:tcPr>
            <w:tcW w:w="708" w:type="dxa"/>
            <w:vAlign w:val="center"/>
          </w:tcPr>
          <w:p w14:paraId="346AE808">
            <w:pPr>
              <w:widowControl/>
              <w:jc w:val="center"/>
              <w:rPr>
                <w:kern w:val="0"/>
                <w:szCs w:val="21"/>
              </w:rPr>
            </w:pPr>
            <w:r>
              <w:rPr>
                <w:kern w:val="0"/>
                <w:szCs w:val="21"/>
              </w:rPr>
              <w:t>均匀</w:t>
            </w:r>
          </w:p>
        </w:tc>
        <w:tc>
          <w:tcPr>
            <w:tcW w:w="851" w:type="dxa"/>
            <w:vAlign w:val="center"/>
          </w:tcPr>
          <w:p w14:paraId="22C9C32D">
            <w:pPr>
              <w:widowControl/>
              <w:jc w:val="center"/>
              <w:rPr>
                <w:kern w:val="0"/>
                <w:szCs w:val="21"/>
              </w:rPr>
            </w:pPr>
            <w:r>
              <w:rPr>
                <w:kern w:val="0"/>
                <w:position w:val="-8"/>
                <w:szCs w:val="21"/>
              </w:rPr>
              <w:object>
                <v:shape id="_x0000_i1066" o:spt="75" type="#_x0000_t75" style="height:15.75pt;width:15.75pt;" o:ole="t" filled="f" o:preferrelative="t" stroked="f" coordsize="21600,21600">
                  <v:path/>
                  <v:fill on="f" focussize="0,0"/>
                  <v:stroke on="f" joinstyle="miter"/>
                  <v:imagedata r:id="rId93" o:title=""/>
                  <o:lock v:ext="edit" aspectratio="t"/>
                  <w10:wrap type="none"/>
                  <w10:anchorlock/>
                </v:shape>
                <o:OLEObject Type="Embed" ProgID="Equation.3" ShapeID="_x0000_i1066" DrawAspect="Content" ObjectID="_1468075766" r:id="rId96">
                  <o:LockedField>false</o:LockedField>
                </o:OLEObject>
              </w:object>
            </w:r>
          </w:p>
        </w:tc>
        <w:tc>
          <w:tcPr>
            <w:tcW w:w="1701" w:type="dxa"/>
            <w:vAlign w:val="center"/>
          </w:tcPr>
          <w:p w14:paraId="7DCEF127">
            <w:pPr>
              <w:widowControl/>
              <w:jc w:val="center"/>
              <w:rPr>
                <w:kern w:val="0"/>
                <w:szCs w:val="21"/>
              </w:rPr>
            </w:pPr>
            <w:r>
              <w:rPr>
                <w:kern w:val="0"/>
                <w:szCs w:val="21"/>
              </w:rPr>
              <w:t>0.12</w:t>
            </w:r>
          </w:p>
        </w:tc>
      </w:tr>
      <w:tr w14:paraId="3F19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82" w:type="dxa"/>
            <w:vAlign w:val="center"/>
          </w:tcPr>
          <w:p w14:paraId="276592A9">
            <w:pPr>
              <w:widowControl/>
              <w:jc w:val="center"/>
              <w:rPr>
                <w:kern w:val="0"/>
                <w:szCs w:val="21"/>
              </w:rPr>
            </w:pPr>
            <w:r>
              <w:rPr>
                <w:i/>
                <w:position w:val="-10"/>
                <w:szCs w:val="21"/>
              </w:rPr>
              <w:object>
                <v:shape id="_x0000_i1067" o:spt="75" type="#_x0000_t75" style="height:15pt;width:12.75pt;" o:ole="t" filled="f" o:preferrelative="t" stroked="f" coordsize="21600,21600">
                  <v:path/>
                  <v:fill on="f" focussize="0,0"/>
                  <v:stroke on="f" joinstyle="miter"/>
                  <v:imagedata r:id="rId98" o:title=""/>
                  <o:lock v:ext="edit" aspectratio="t"/>
                  <w10:wrap type="none"/>
                  <w10:anchorlock/>
                </v:shape>
                <o:OLEObject Type="Embed" ProgID="Equation.3" ShapeID="_x0000_i1067" DrawAspect="Content" ObjectID="_1468075767" r:id="rId97">
                  <o:LockedField>false</o:LockedField>
                </o:OLEObject>
              </w:object>
            </w:r>
          </w:p>
        </w:tc>
        <w:tc>
          <w:tcPr>
            <w:tcW w:w="3446" w:type="dxa"/>
            <w:vAlign w:val="center"/>
          </w:tcPr>
          <w:p w14:paraId="0B1C336E">
            <w:pPr>
              <w:widowControl/>
              <w:jc w:val="center"/>
              <w:rPr>
                <w:szCs w:val="21"/>
              </w:rPr>
            </w:pPr>
            <w:r>
              <w:rPr>
                <w:sz w:val="24"/>
              </w:rPr>
              <w:t>温度环境影响引入</w:t>
            </w:r>
          </w:p>
        </w:tc>
        <w:tc>
          <w:tcPr>
            <w:tcW w:w="709" w:type="dxa"/>
            <w:vAlign w:val="center"/>
          </w:tcPr>
          <w:p w14:paraId="450D14F2">
            <w:pPr>
              <w:widowControl/>
              <w:jc w:val="center"/>
              <w:rPr>
                <w:kern w:val="0"/>
                <w:szCs w:val="21"/>
              </w:rPr>
            </w:pPr>
            <w:r>
              <w:rPr>
                <w:kern w:val="0"/>
                <w:szCs w:val="21"/>
              </w:rPr>
              <w:t>B</w:t>
            </w:r>
          </w:p>
        </w:tc>
        <w:tc>
          <w:tcPr>
            <w:tcW w:w="708" w:type="dxa"/>
            <w:vAlign w:val="center"/>
          </w:tcPr>
          <w:p w14:paraId="411CF37C">
            <w:pPr>
              <w:widowControl/>
              <w:jc w:val="center"/>
              <w:rPr>
                <w:kern w:val="0"/>
                <w:szCs w:val="21"/>
              </w:rPr>
            </w:pPr>
            <w:r>
              <w:rPr>
                <w:kern w:val="0"/>
                <w:szCs w:val="21"/>
              </w:rPr>
              <w:t>均匀</w:t>
            </w:r>
          </w:p>
        </w:tc>
        <w:tc>
          <w:tcPr>
            <w:tcW w:w="851" w:type="dxa"/>
            <w:vAlign w:val="center"/>
          </w:tcPr>
          <w:p w14:paraId="2D11261B">
            <w:pPr>
              <w:widowControl/>
              <w:jc w:val="center"/>
              <w:rPr>
                <w:kern w:val="0"/>
                <w:szCs w:val="21"/>
              </w:rPr>
            </w:pPr>
            <w:r>
              <w:rPr>
                <w:kern w:val="0"/>
                <w:position w:val="-8"/>
                <w:szCs w:val="21"/>
              </w:rPr>
              <w:object>
                <v:shape id="_x0000_i1068" o:spt="75" type="#_x0000_t75" style="height:15.75pt;width:15.75pt;" o:ole="t" filled="f" o:preferrelative="t" stroked="f" coordsize="21600,21600">
                  <v:path/>
                  <v:fill on="f" focussize="0,0"/>
                  <v:stroke on="f" joinstyle="miter"/>
                  <v:imagedata r:id="rId93" o:title=""/>
                  <o:lock v:ext="edit" aspectratio="t"/>
                  <w10:wrap type="none"/>
                  <w10:anchorlock/>
                </v:shape>
                <o:OLEObject Type="Embed" ProgID="Equation.3" ShapeID="_x0000_i1068" DrawAspect="Content" ObjectID="_1468075768" r:id="rId99">
                  <o:LockedField>false</o:LockedField>
                </o:OLEObject>
              </w:object>
            </w:r>
          </w:p>
        </w:tc>
        <w:tc>
          <w:tcPr>
            <w:tcW w:w="1701" w:type="dxa"/>
            <w:vAlign w:val="center"/>
          </w:tcPr>
          <w:p w14:paraId="025418EF">
            <w:pPr>
              <w:widowControl/>
              <w:jc w:val="center"/>
              <w:rPr>
                <w:kern w:val="0"/>
                <w:szCs w:val="21"/>
              </w:rPr>
            </w:pPr>
            <w:r>
              <w:rPr>
                <w:kern w:val="0"/>
                <w:szCs w:val="21"/>
              </w:rPr>
              <w:t>0.12</w:t>
            </w:r>
          </w:p>
        </w:tc>
      </w:tr>
      <w:tr w14:paraId="2750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482" w:type="dxa"/>
            <w:vAlign w:val="center"/>
          </w:tcPr>
          <w:p w14:paraId="4FB2E371">
            <w:pPr>
              <w:widowControl/>
              <w:jc w:val="center"/>
              <w:rPr>
                <w:kern w:val="0"/>
                <w:szCs w:val="21"/>
              </w:rPr>
            </w:pPr>
            <w:r>
              <w:rPr>
                <w:i/>
                <w:position w:val="-10"/>
                <w:szCs w:val="21"/>
              </w:rPr>
              <w:object>
                <v:shape id="_x0000_i1069" o:spt="75" type="#_x0000_t75" style="height:15pt;width:12.75pt;" o:ole="t" filled="f" o:preferrelative="t" stroked="f" coordsize="21600,21600">
                  <v:path/>
                  <v:fill on="f" focussize="0,0"/>
                  <v:stroke on="f" joinstyle="miter"/>
                  <v:imagedata r:id="rId101" o:title=""/>
                  <o:lock v:ext="edit" aspectratio="t"/>
                  <w10:wrap type="none"/>
                  <w10:anchorlock/>
                </v:shape>
                <o:OLEObject Type="Embed" ProgID="Equation.3" ShapeID="_x0000_i1069" DrawAspect="Content" ObjectID="_1468075769" r:id="rId100">
                  <o:LockedField>false</o:LockedField>
                </o:OLEObject>
              </w:object>
            </w:r>
          </w:p>
        </w:tc>
        <w:tc>
          <w:tcPr>
            <w:tcW w:w="3446" w:type="dxa"/>
            <w:vAlign w:val="center"/>
          </w:tcPr>
          <w:p w14:paraId="2D199F13">
            <w:pPr>
              <w:jc w:val="center"/>
              <w:rPr>
                <w:szCs w:val="21"/>
              </w:rPr>
            </w:pPr>
            <w:r>
              <w:rPr>
                <w:szCs w:val="21"/>
              </w:rPr>
              <w:t>基座应变、磁场、安装扭矩和其他环境因素引入</w:t>
            </w:r>
          </w:p>
        </w:tc>
        <w:tc>
          <w:tcPr>
            <w:tcW w:w="709" w:type="dxa"/>
            <w:vAlign w:val="center"/>
          </w:tcPr>
          <w:p w14:paraId="2F4D9295">
            <w:pPr>
              <w:widowControl/>
              <w:jc w:val="center"/>
              <w:rPr>
                <w:kern w:val="0"/>
                <w:szCs w:val="21"/>
              </w:rPr>
            </w:pPr>
            <w:r>
              <w:rPr>
                <w:kern w:val="0"/>
                <w:szCs w:val="21"/>
              </w:rPr>
              <w:t>B</w:t>
            </w:r>
          </w:p>
        </w:tc>
        <w:tc>
          <w:tcPr>
            <w:tcW w:w="708" w:type="dxa"/>
            <w:vAlign w:val="center"/>
          </w:tcPr>
          <w:p w14:paraId="238A6B97">
            <w:pPr>
              <w:widowControl/>
              <w:jc w:val="center"/>
              <w:rPr>
                <w:kern w:val="0"/>
                <w:szCs w:val="21"/>
              </w:rPr>
            </w:pPr>
            <w:r>
              <w:rPr>
                <w:rFonts w:hint="eastAsia"/>
                <w:kern w:val="0"/>
                <w:szCs w:val="21"/>
              </w:rPr>
              <w:t>均匀</w:t>
            </w:r>
          </w:p>
        </w:tc>
        <w:tc>
          <w:tcPr>
            <w:tcW w:w="851" w:type="dxa"/>
            <w:vAlign w:val="center"/>
          </w:tcPr>
          <w:p w14:paraId="2460AC17">
            <w:pPr>
              <w:widowControl/>
              <w:jc w:val="center"/>
              <w:rPr>
                <w:kern w:val="0"/>
                <w:szCs w:val="21"/>
              </w:rPr>
            </w:pPr>
            <w:r>
              <w:rPr>
                <w:kern w:val="0"/>
                <w:position w:val="-8"/>
                <w:szCs w:val="21"/>
              </w:rPr>
              <w:object>
                <v:shape id="_x0000_i1070" o:spt="75" type="#_x0000_t75" style="height:15.75pt;width:15.75pt;" o:ole="t" filled="f" o:preferrelative="t" stroked="f" coordsize="21600,21600">
                  <v:path/>
                  <v:fill on="f" focussize="0,0"/>
                  <v:stroke on="f" joinstyle="miter"/>
                  <v:imagedata r:id="rId93" o:title=""/>
                  <o:lock v:ext="edit" aspectratio="t"/>
                  <w10:wrap type="none"/>
                  <w10:anchorlock/>
                </v:shape>
                <o:OLEObject Type="Embed" ProgID="Equation.3" ShapeID="_x0000_i1070" DrawAspect="Content" ObjectID="_1468075770" r:id="rId102">
                  <o:LockedField>false</o:LockedField>
                </o:OLEObject>
              </w:object>
            </w:r>
          </w:p>
        </w:tc>
        <w:tc>
          <w:tcPr>
            <w:tcW w:w="1701" w:type="dxa"/>
            <w:vAlign w:val="center"/>
          </w:tcPr>
          <w:p w14:paraId="34763C07">
            <w:pPr>
              <w:widowControl/>
              <w:jc w:val="center"/>
              <w:rPr>
                <w:kern w:val="0"/>
                <w:szCs w:val="21"/>
              </w:rPr>
            </w:pPr>
            <w:r>
              <w:rPr>
                <w:kern w:val="0"/>
                <w:szCs w:val="21"/>
              </w:rPr>
              <w:t>0.18</w:t>
            </w:r>
          </w:p>
        </w:tc>
      </w:tr>
      <w:tr w14:paraId="69BC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482" w:type="dxa"/>
            <w:vAlign w:val="center"/>
          </w:tcPr>
          <w:p w14:paraId="793313E5">
            <w:pPr>
              <w:jc w:val="center"/>
              <w:rPr>
                <w:i/>
                <w:szCs w:val="21"/>
              </w:rPr>
            </w:pPr>
            <w:r>
              <w:rPr>
                <w:i/>
                <w:position w:val="-10"/>
                <w:sz w:val="24"/>
              </w:rPr>
              <w:object>
                <v:shape id="_x0000_i1071" o:spt="75" type="#_x0000_t75" style="height:15pt;width:12.75pt;" o:ole="t" filled="f" o:preferrelative="t" stroked="f" coordsize="21600,21600">
                  <v:path/>
                  <v:fill on="f" focussize="0,0"/>
                  <v:stroke on="f" joinstyle="miter"/>
                  <v:imagedata r:id="rId104" o:title=""/>
                  <o:lock v:ext="edit" aspectratio="t"/>
                  <w10:wrap type="none"/>
                  <w10:anchorlock/>
                </v:shape>
                <o:OLEObject Type="Embed" ProgID="Equation.3" ShapeID="_x0000_i1071" DrawAspect="Content" ObjectID="_1468075771" r:id="rId103">
                  <o:LockedField>false</o:LockedField>
                </o:OLEObject>
              </w:object>
            </w:r>
          </w:p>
        </w:tc>
        <w:tc>
          <w:tcPr>
            <w:tcW w:w="3446" w:type="dxa"/>
            <w:vAlign w:val="center"/>
          </w:tcPr>
          <w:p w14:paraId="2B2E8D71">
            <w:pPr>
              <w:jc w:val="center"/>
              <w:rPr>
                <w:szCs w:val="21"/>
              </w:rPr>
            </w:pPr>
            <w:r>
              <w:rPr>
                <w:szCs w:val="21"/>
              </w:rPr>
              <w:t>被校传感器在振动台台面横向振动引入</w:t>
            </w:r>
          </w:p>
        </w:tc>
        <w:tc>
          <w:tcPr>
            <w:tcW w:w="709" w:type="dxa"/>
            <w:vAlign w:val="center"/>
          </w:tcPr>
          <w:p w14:paraId="7F67F9EB">
            <w:pPr>
              <w:jc w:val="center"/>
              <w:rPr>
                <w:kern w:val="0"/>
                <w:szCs w:val="21"/>
              </w:rPr>
            </w:pPr>
            <w:r>
              <w:rPr>
                <w:kern w:val="0"/>
                <w:szCs w:val="21"/>
              </w:rPr>
              <w:t>B</w:t>
            </w:r>
          </w:p>
        </w:tc>
        <w:tc>
          <w:tcPr>
            <w:tcW w:w="708" w:type="dxa"/>
            <w:vAlign w:val="center"/>
          </w:tcPr>
          <w:p w14:paraId="25097A38">
            <w:pPr>
              <w:jc w:val="center"/>
              <w:rPr>
                <w:kern w:val="0"/>
                <w:szCs w:val="21"/>
              </w:rPr>
            </w:pPr>
            <w:r>
              <w:rPr>
                <w:kern w:val="0"/>
                <w:szCs w:val="21"/>
              </w:rPr>
              <w:t>均匀</w:t>
            </w:r>
          </w:p>
        </w:tc>
        <w:tc>
          <w:tcPr>
            <w:tcW w:w="851" w:type="dxa"/>
            <w:vAlign w:val="center"/>
          </w:tcPr>
          <w:p w14:paraId="6D60AD0C">
            <w:pPr>
              <w:jc w:val="center"/>
              <w:rPr>
                <w:kern w:val="0"/>
                <w:szCs w:val="21"/>
              </w:rPr>
            </w:pPr>
            <w:r>
              <w:rPr>
                <w:kern w:val="0"/>
                <w:position w:val="-8"/>
                <w:szCs w:val="21"/>
              </w:rPr>
              <w:object>
                <v:shape id="_x0000_i1072" o:spt="75" type="#_x0000_t75" style="height:15.75pt;width:15.75pt;" o:ole="t" filled="f" o:preferrelative="t" stroked="f" coordsize="21600,21600">
                  <v:path/>
                  <v:fill on="f" focussize="0,0"/>
                  <v:stroke on="f" joinstyle="miter"/>
                  <v:imagedata r:id="rId93" o:title=""/>
                  <o:lock v:ext="edit" aspectratio="t"/>
                  <w10:wrap type="none"/>
                  <w10:anchorlock/>
                </v:shape>
                <o:OLEObject Type="Embed" ProgID="Equation.3" ShapeID="_x0000_i1072" DrawAspect="Content" ObjectID="_1468075772" r:id="rId105">
                  <o:LockedField>false</o:LockedField>
                </o:OLEObject>
              </w:object>
            </w:r>
          </w:p>
        </w:tc>
        <w:tc>
          <w:tcPr>
            <w:tcW w:w="1701" w:type="dxa"/>
            <w:vAlign w:val="center"/>
          </w:tcPr>
          <w:p w14:paraId="27BD0D25">
            <w:pPr>
              <w:jc w:val="center"/>
              <w:rPr>
                <w:kern w:val="0"/>
                <w:szCs w:val="21"/>
              </w:rPr>
            </w:pPr>
            <w:r>
              <w:rPr>
                <w:kern w:val="0"/>
                <w:szCs w:val="21"/>
              </w:rPr>
              <w:t>0.15</w:t>
            </w:r>
          </w:p>
        </w:tc>
      </w:tr>
    </w:tbl>
    <w:p w14:paraId="09654528">
      <w:pPr>
        <w:spacing w:line="360" w:lineRule="auto"/>
        <w:jc w:val="left"/>
        <w:rPr>
          <w:sz w:val="24"/>
        </w:rPr>
      </w:pPr>
      <w:r>
        <w:rPr>
          <w:sz w:val="24"/>
        </w:rPr>
        <w:t>A.5.2 合成标准不确定度计算</w:t>
      </w:r>
    </w:p>
    <w:p w14:paraId="51DBDDCA">
      <w:pPr>
        <w:spacing w:beforeLines="50" w:line="360" w:lineRule="auto"/>
        <w:rPr>
          <w:sz w:val="24"/>
        </w:rPr>
      </w:pPr>
      <w:r>
        <w:rPr>
          <w:sz w:val="24"/>
        </w:rPr>
        <w:t xml:space="preserve">  由于以上各标准不确定度分量</w:t>
      </w:r>
      <w:r>
        <w:rPr>
          <w:i/>
          <w:position w:val="-12"/>
          <w:sz w:val="24"/>
        </w:rPr>
        <w:object>
          <v:shape id="_x0000_i1073" o:spt="75" type="#_x0000_t75" style="height:18pt;width:12pt;" o:ole="t" filled="f" o:preferrelative="t" stroked="f" coordsize="21600,21600">
            <v:path/>
            <v:fill on="f" focussize="0,0"/>
            <v:stroke on="f" joinstyle="miter"/>
            <v:imagedata r:id="rId107" o:title=""/>
            <o:lock v:ext="edit" aspectratio="t"/>
            <w10:wrap type="none"/>
            <w10:anchorlock/>
          </v:shape>
          <o:OLEObject Type="Embed" ProgID="Equation.3" ShapeID="_x0000_i1073" DrawAspect="Content" ObjectID="_1468075773" r:id="rId106">
            <o:LockedField>false</o:LockedField>
          </o:OLEObject>
        </w:object>
      </w:r>
      <w:r>
        <w:rPr>
          <w:sz w:val="24"/>
        </w:rPr>
        <w:t>之间互相独立不相关，故合成标准不确定度为：</w:t>
      </w:r>
    </w:p>
    <w:p w14:paraId="71A19D2A">
      <w:pPr>
        <w:spacing w:beforeLines="50" w:line="360" w:lineRule="auto"/>
        <w:jc w:val="center"/>
        <w:rPr>
          <w:position w:val="-36"/>
          <w:sz w:val="28"/>
          <w:szCs w:val="28"/>
        </w:rPr>
      </w:pPr>
      <w:r>
        <w:rPr>
          <w:position w:val="-42"/>
          <w:sz w:val="28"/>
          <w:szCs w:val="28"/>
        </w:rPr>
        <w:object>
          <v:shape id="_x0000_i1074" o:spt="75" type="#_x0000_t75" style="height:60pt;width:339pt;" o:ole="t" filled="f" o:preferrelative="t" stroked="f" coordsize="21600,21600">
            <v:path/>
            <v:fill on="f" focussize="0,0"/>
            <v:stroke on="f" joinstyle="miter"/>
            <v:imagedata r:id="rId109" o:title=""/>
            <o:lock v:ext="edit" aspectratio="t"/>
            <w10:wrap type="none"/>
            <w10:anchorlock/>
          </v:shape>
          <o:OLEObject Type="Embed" ProgID="Equation.DSMT4" ShapeID="_x0000_i1074" DrawAspect="Content" ObjectID="_1468075774" r:id="rId108">
            <o:LockedField>false</o:LockedField>
          </o:OLEObject>
        </w:object>
      </w:r>
    </w:p>
    <w:p w14:paraId="5DB59403">
      <w:pPr>
        <w:spacing w:line="360" w:lineRule="auto"/>
        <w:jc w:val="left"/>
        <w:rPr>
          <w:sz w:val="24"/>
        </w:rPr>
      </w:pPr>
      <w:r>
        <w:rPr>
          <w:sz w:val="24"/>
        </w:rPr>
        <w:t>A.6 扩展不确定度计算</w:t>
      </w:r>
    </w:p>
    <w:p w14:paraId="6F1DF8FC">
      <w:pPr>
        <w:spacing w:line="360" w:lineRule="auto"/>
        <w:ind w:firstLine="240" w:firstLineChars="100"/>
        <w:jc w:val="left"/>
        <w:rPr>
          <w:sz w:val="24"/>
        </w:rPr>
      </w:pPr>
      <w:r>
        <w:rPr>
          <w:sz w:val="24"/>
        </w:rPr>
        <w:t>取</w:t>
      </w:r>
      <w:r>
        <w:rPr>
          <w:i/>
          <w:sz w:val="24"/>
        </w:rPr>
        <w:t>k</w:t>
      </w:r>
      <w:r>
        <w:rPr>
          <w:sz w:val="24"/>
        </w:rPr>
        <w:t>＝2，测量结果的相对扩展不确定度为：</w:t>
      </w:r>
    </w:p>
    <w:p w14:paraId="515CF5E0">
      <w:pPr>
        <w:spacing w:line="360" w:lineRule="auto"/>
        <w:ind w:firstLine="240" w:firstLineChars="100"/>
        <w:jc w:val="center"/>
        <w:rPr>
          <w:iCs/>
          <w:sz w:val="24"/>
        </w:rPr>
      </w:pPr>
      <w:r>
        <w:rPr>
          <w:position w:val="-12"/>
          <w:sz w:val="24"/>
        </w:rPr>
        <w:object>
          <v:shape id="_x0000_i1075" o:spt="75" type="#_x0000_t75" style="height:18pt;width:144pt;" o:ole="t" filled="f" o:preferrelative="t" stroked="f" coordsize="21600,21600">
            <v:path/>
            <v:fill on="f" focussize="0,0"/>
            <v:stroke on="f" joinstyle="miter"/>
            <v:imagedata r:id="rId111" o:title=""/>
            <o:lock v:ext="edit" aspectratio="t"/>
            <w10:wrap type="none"/>
            <w10:anchorlock/>
          </v:shape>
          <o:OLEObject Type="Embed" ProgID="Equation.DSMT4" ShapeID="_x0000_i1075" DrawAspect="Content" ObjectID="_1468075775" r:id="rId110">
            <o:LockedField>false</o:LockedField>
          </o:OLEObject>
        </w:object>
      </w:r>
      <w:r>
        <w:rPr>
          <w:rFonts w:hint="eastAsia"/>
          <w:position w:val="-12"/>
          <w:sz w:val="24"/>
        </w:rPr>
        <w:t xml:space="preserve"> </w:t>
      </w:r>
      <w:r>
        <w:rPr>
          <w:iCs/>
          <w:sz w:val="24"/>
        </w:rPr>
        <w:t>(</w:t>
      </w:r>
      <w:r>
        <w:rPr>
          <w:i/>
          <w:iCs/>
          <w:sz w:val="24"/>
        </w:rPr>
        <w:t>k</w:t>
      </w:r>
      <w:r>
        <w:rPr>
          <w:iCs/>
          <w:sz w:val="24"/>
        </w:rPr>
        <w:t>=2)</w:t>
      </w:r>
    </w:p>
    <w:p w14:paraId="697EA77D">
      <w:pPr>
        <w:spacing w:beforeLines="50" w:line="360" w:lineRule="auto"/>
        <w:rPr>
          <w:sz w:val="24"/>
        </w:rPr>
      </w:pPr>
    </w:p>
    <w:p w14:paraId="26399F1C">
      <w:pPr>
        <w:spacing w:beforeLines="50" w:line="360" w:lineRule="auto"/>
        <w:rPr>
          <w:sz w:val="24"/>
        </w:rPr>
      </w:pPr>
    </w:p>
    <w:p w14:paraId="2D6BD7A5">
      <w:pPr>
        <w:spacing w:beforeLines="50" w:line="360" w:lineRule="auto"/>
        <w:rPr>
          <w:sz w:val="24"/>
        </w:rPr>
      </w:pPr>
    </w:p>
    <w:p w14:paraId="59181DE3">
      <w:pPr>
        <w:spacing w:beforeLines="50" w:line="360" w:lineRule="auto"/>
        <w:rPr>
          <w:sz w:val="24"/>
        </w:rPr>
      </w:pPr>
    </w:p>
    <w:p w14:paraId="5B440EBE">
      <w:pPr>
        <w:spacing w:beforeLines="50" w:line="360" w:lineRule="auto"/>
        <w:rPr>
          <w:sz w:val="24"/>
        </w:rPr>
      </w:pPr>
    </w:p>
    <w:p w14:paraId="2DB453D3">
      <w:pPr>
        <w:spacing w:beforeLines="50" w:line="360" w:lineRule="auto"/>
        <w:rPr>
          <w:sz w:val="24"/>
        </w:rPr>
      </w:pPr>
    </w:p>
    <w:p w14:paraId="34823F8C">
      <w:pPr>
        <w:autoSpaceDE w:val="0"/>
        <w:autoSpaceDN w:val="0"/>
        <w:adjustRightInd w:val="0"/>
        <w:rPr>
          <w:sz w:val="24"/>
        </w:rPr>
      </w:pPr>
    </w:p>
    <w:p w14:paraId="75BC6BA9">
      <w:pPr>
        <w:autoSpaceDE w:val="0"/>
        <w:autoSpaceDN w:val="0"/>
        <w:adjustRightInd w:val="0"/>
        <w:rPr>
          <w:rFonts w:eastAsia="黑体"/>
          <w:sz w:val="28"/>
          <w:szCs w:val="28"/>
        </w:rPr>
      </w:pPr>
      <w:r>
        <w:rPr>
          <w:rFonts w:eastAsia="黑体"/>
          <w:sz w:val="28"/>
          <w:szCs w:val="28"/>
        </w:rPr>
        <w:t>附录 B</w:t>
      </w:r>
    </w:p>
    <w:p w14:paraId="216474C1">
      <w:pPr>
        <w:autoSpaceDE w:val="0"/>
        <w:autoSpaceDN w:val="0"/>
        <w:adjustRightInd w:val="0"/>
        <w:jc w:val="center"/>
        <w:rPr>
          <w:rFonts w:eastAsia="黑体"/>
          <w:sz w:val="28"/>
          <w:szCs w:val="28"/>
        </w:rPr>
      </w:pPr>
      <w:r>
        <w:rPr>
          <w:rFonts w:eastAsia="黑体"/>
          <w:sz w:val="28"/>
          <w:szCs w:val="28"/>
        </w:rPr>
        <w:t>电梯加速度测试仪校准原始记录格式</w:t>
      </w:r>
    </w:p>
    <w:tbl>
      <w:tblPr>
        <w:tblStyle w:val="30"/>
        <w:tblpPr w:leftFromText="180" w:rightFromText="180" w:vertAnchor="text" w:horzAnchor="page" w:tblpXSpec="center" w:tblpY="259"/>
        <w:tblOverlap w:val="never"/>
        <w:tblW w:w="9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793"/>
        <w:gridCol w:w="743"/>
        <w:gridCol w:w="533"/>
        <w:gridCol w:w="532"/>
        <w:gridCol w:w="602"/>
        <w:gridCol w:w="547"/>
        <w:gridCol w:w="1049"/>
        <w:gridCol w:w="395"/>
        <w:gridCol w:w="1292"/>
        <w:gridCol w:w="698"/>
        <w:gridCol w:w="1365"/>
      </w:tblGrid>
      <w:tr w14:paraId="30A9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58" w:type="dxa"/>
            <w:tcBorders>
              <w:top w:val="single" w:color="auto" w:sz="12" w:space="0"/>
              <w:left w:val="single" w:color="auto" w:sz="12" w:space="0"/>
            </w:tcBorders>
            <w:noWrap/>
            <w:vAlign w:val="center"/>
          </w:tcPr>
          <w:p w14:paraId="164EB04B">
            <w:pPr>
              <w:jc w:val="center"/>
              <w:rPr>
                <w:szCs w:val="21"/>
              </w:rPr>
            </w:pPr>
            <w:r>
              <w:rPr>
                <w:szCs w:val="21"/>
              </w:rPr>
              <w:t>委托单位</w:t>
            </w:r>
          </w:p>
        </w:tc>
        <w:tc>
          <w:tcPr>
            <w:tcW w:w="3750" w:type="dxa"/>
            <w:gridSpan w:val="6"/>
            <w:tcBorders>
              <w:top w:val="single" w:color="auto" w:sz="12" w:space="0"/>
            </w:tcBorders>
            <w:noWrap/>
            <w:vAlign w:val="center"/>
          </w:tcPr>
          <w:p w14:paraId="386B267B">
            <w:pPr>
              <w:jc w:val="center"/>
              <w:rPr>
                <w:szCs w:val="21"/>
              </w:rPr>
            </w:pPr>
          </w:p>
        </w:tc>
        <w:tc>
          <w:tcPr>
            <w:tcW w:w="1444" w:type="dxa"/>
            <w:gridSpan w:val="2"/>
            <w:tcBorders>
              <w:top w:val="single" w:color="auto" w:sz="12" w:space="0"/>
            </w:tcBorders>
            <w:noWrap/>
            <w:vAlign w:val="center"/>
          </w:tcPr>
          <w:p w14:paraId="6531F476">
            <w:pPr>
              <w:jc w:val="center"/>
              <w:rPr>
                <w:szCs w:val="21"/>
              </w:rPr>
            </w:pPr>
            <w:r>
              <w:rPr>
                <w:szCs w:val="21"/>
              </w:rPr>
              <w:t>证书编号</w:t>
            </w:r>
          </w:p>
        </w:tc>
        <w:tc>
          <w:tcPr>
            <w:tcW w:w="3355" w:type="dxa"/>
            <w:gridSpan w:val="3"/>
            <w:tcBorders>
              <w:top w:val="single" w:color="auto" w:sz="12" w:space="0"/>
              <w:right w:val="single" w:color="auto" w:sz="12" w:space="0"/>
            </w:tcBorders>
            <w:noWrap/>
            <w:vAlign w:val="center"/>
          </w:tcPr>
          <w:p w14:paraId="394F6934">
            <w:pPr>
              <w:jc w:val="left"/>
              <w:rPr>
                <w:szCs w:val="21"/>
              </w:rPr>
            </w:pPr>
          </w:p>
        </w:tc>
      </w:tr>
      <w:tr w14:paraId="621F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58" w:type="dxa"/>
            <w:tcBorders>
              <w:left w:val="single" w:color="auto" w:sz="12" w:space="0"/>
            </w:tcBorders>
            <w:noWrap/>
            <w:vAlign w:val="center"/>
          </w:tcPr>
          <w:p w14:paraId="605653F9">
            <w:pPr>
              <w:jc w:val="center"/>
              <w:rPr>
                <w:szCs w:val="21"/>
              </w:rPr>
            </w:pPr>
            <w:r>
              <w:rPr>
                <w:szCs w:val="21"/>
              </w:rPr>
              <w:t>单位地址</w:t>
            </w:r>
          </w:p>
        </w:tc>
        <w:tc>
          <w:tcPr>
            <w:tcW w:w="3750" w:type="dxa"/>
            <w:gridSpan w:val="6"/>
            <w:noWrap/>
            <w:vAlign w:val="center"/>
          </w:tcPr>
          <w:p w14:paraId="5105C355">
            <w:pPr>
              <w:jc w:val="center"/>
              <w:rPr>
                <w:szCs w:val="21"/>
              </w:rPr>
            </w:pPr>
          </w:p>
        </w:tc>
        <w:tc>
          <w:tcPr>
            <w:tcW w:w="1444" w:type="dxa"/>
            <w:gridSpan w:val="2"/>
            <w:noWrap/>
            <w:vAlign w:val="center"/>
          </w:tcPr>
          <w:p w14:paraId="7B92A7FD">
            <w:pPr>
              <w:jc w:val="center"/>
              <w:rPr>
                <w:szCs w:val="21"/>
              </w:rPr>
            </w:pPr>
            <w:r>
              <w:rPr>
                <w:szCs w:val="21"/>
              </w:rPr>
              <w:t xml:space="preserve">设备名称 </w:t>
            </w:r>
          </w:p>
        </w:tc>
        <w:tc>
          <w:tcPr>
            <w:tcW w:w="3355" w:type="dxa"/>
            <w:gridSpan w:val="3"/>
            <w:tcBorders>
              <w:right w:val="single" w:color="auto" w:sz="12" w:space="0"/>
            </w:tcBorders>
            <w:noWrap/>
            <w:vAlign w:val="center"/>
          </w:tcPr>
          <w:p w14:paraId="102A9954">
            <w:pPr>
              <w:jc w:val="center"/>
              <w:rPr>
                <w:szCs w:val="21"/>
              </w:rPr>
            </w:pPr>
          </w:p>
        </w:tc>
      </w:tr>
      <w:tr w14:paraId="033D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694" w:type="dxa"/>
            <w:gridSpan w:val="3"/>
            <w:tcBorders>
              <w:left w:val="single" w:color="auto" w:sz="12" w:space="0"/>
            </w:tcBorders>
            <w:noWrap/>
            <w:vAlign w:val="center"/>
          </w:tcPr>
          <w:p w14:paraId="41E7F822">
            <w:pPr>
              <w:jc w:val="center"/>
              <w:rPr>
                <w:szCs w:val="21"/>
              </w:rPr>
            </w:pPr>
            <w:r>
              <w:rPr>
                <w:szCs w:val="21"/>
              </w:rPr>
              <w:t>校准地点</w:t>
            </w:r>
          </w:p>
        </w:tc>
        <w:tc>
          <w:tcPr>
            <w:tcW w:w="1065" w:type="dxa"/>
            <w:gridSpan w:val="2"/>
            <w:noWrap/>
            <w:vAlign w:val="center"/>
          </w:tcPr>
          <w:p w14:paraId="1B4AB39A">
            <w:pPr>
              <w:jc w:val="center"/>
              <w:rPr>
                <w:szCs w:val="21"/>
              </w:rPr>
            </w:pPr>
            <w:r>
              <w:rPr>
                <w:szCs w:val="21"/>
              </w:rPr>
              <w:t>温度</w:t>
            </w:r>
          </w:p>
        </w:tc>
        <w:tc>
          <w:tcPr>
            <w:tcW w:w="1149" w:type="dxa"/>
            <w:gridSpan w:val="2"/>
            <w:noWrap/>
            <w:vAlign w:val="center"/>
          </w:tcPr>
          <w:p w14:paraId="23C286B6">
            <w:pPr>
              <w:jc w:val="center"/>
              <w:rPr>
                <w:szCs w:val="21"/>
              </w:rPr>
            </w:pPr>
            <w:r>
              <w:rPr>
                <w:szCs w:val="21"/>
              </w:rPr>
              <w:t>相对湿度</w:t>
            </w:r>
          </w:p>
        </w:tc>
        <w:tc>
          <w:tcPr>
            <w:tcW w:w="1444" w:type="dxa"/>
            <w:gridSpan w:val="2"/>
            <w:noWrap/>
            <w:vAlign w:val="center"/>
          </w:tcPr>
          <w:p w14:paraId="513337AA">
            <w:pPr>
              <w:jc w:val="center"/>
              <w:rPr>
                <w:szCs w:val="21"/>
              </w:rPr>
            </w:pPr>
            <w:r>
              <w:rPr>
                <w:szCs w:val="21"/>
              </w:rPr>
              <w:t>规格型号</w:t>
            </w:r>
          </w:p>
        </w:tc>
        <w:tc>
          <w:tcPr>
            <w:tcW w:w="1292" w:type="dxa"/>
            <w:tcBorders>
              <w:right w:val="single" w:color="auto" w:sz="4" w:space="0"/>
            </w:tcBorders>
            <w:noWrap/>
            <w:vAlign w:val="center"/>
          </w:tcPr>
          <w:p w14:paraId="20E03E93">
            <w:pPr>
              <w:jc w:val="center"/>
              <w:rPr>
                <w:szCs w:val="21"/>
              </w:rPr>
            </w:pPr>
            <w:r>
              <w:rPr>
                <w:szCs w:val="21"/>
              </w:rPr>
              <w:t>设备编号</w:t>
            </w:r>
          </w:p>
        </w:tc>
        <w:tc>
          <w:tcPr>
            <w:tcW w:w="2063" w:type="dxa"/>
            <w:gridSpan w:val="2"/>
            <w:tcBorders>
              <w:left w:val="single" w:color="auto" w:sz="4" w:space="0"/>
              <w:right w:val="single" w:color="auto" w:sz="12" w:space="0"/>
            </w:tcBorders>
            <w:noWrap/>
            <w:vAlign w:val="center"/>
          </w:tcPr>
          <w:p w14:paraId="36D6DAD3">
            <w:pPr>
              <w:jc w:val="center"/>
              <w:rPr>
                <w:szCs w:val="21"/>
              </w:rPr>
            </w:pPr>
            <w:r>
              <w:rPr>
                <w:szCs w:val="21"/>
              </w:rPr>
              <w:t xml:space="preserve">生产厂商 </w:t>
            </w:r>
          </w:p>
        </w:tc>
      </w:tr>
      <w:tr w14:paraId="2E178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694" w:type="dxa"/>
            <w:gridSpan w:val="3"/>
            <w:tcBorders>
              <w:left w:val="single" w:color="auto" w:sz="12" w:space="0"/>
            </w:tcBorders>
            <w:noWrap/>
            <w:vAlign w:val="center"/>
          </w:tcPr>
          <w:p w14:paraId="56433BA8">
            <w:pPr>
              <w:jc w:val="center"/>
              <w:rPr>
                <w:szCs w:val="21"/>
              </w:rPr>
            </w:pPr>
          </w:p>
        </w:tc>
        <w:tc>
          <w:tcPr>
            <w:tcW w:w="1065" w:type="dxa"/>
            <w:gridSpan w:val="2"/>
            <w:noWrap/>
            <w:vAlign w:val="center"/>
          </w:tcPr>
          <w:p w14:paraId="5FA4E7C4">
            <w:pPr>
              <w:jc w:val="right"/>
              <w:rPr>
                <w:szCs w:val="21"/>
              </w:rPr>
            </w:pPr>
            <w:r>
              <w:rPr>
                <w:szCs w:val="21"/>
              </w:rPr>
              <w:t xml:space="preserve"> </w:t>
            </w:r>
            <w:r>
              <w:rPr>
                <w:rFonts w:ascii="宋体"/>
                <w:szCs w:val="21"/>
              </w:rPr>
              <w:t>℃</w:t>
            </w:r>
            <w:r>
              <w:rPr>
                <w:szCs w:val="21"/>
              </w:rPr>
              <w:t xml:space="preserve">      </w:t>
            </w:r>
          </w:p>
        </w:tc>
        <w:tc>
          <w:tcPr>
            <w:tcW w:w="1149" w:type="dxa"/>
            <w:gridSpan w:val="2"/>
            <w:noWrap/>
            <w:vAlign w:val="center"/>
          </w:tcPr>
          <w:p w14:paraId="620FF175">
            <w:pPr>
              <w:jc w:val="right"/>
              <w:rPr>
                <w:szCs w:val="21"/>
              </w:rPr>
            </w:pPr>
            <w:r>
              <w:rPr>
                <w:szCs w:val="21"/>
              </w:rPr>
              <w:t>%</w:t>
            </w:r>
          </w:p>
        </w:tc>
        <w:tc>
          <w:tcPr>
            <w:tcW w:w="1444" w:type="dxa"/>
            <w:gridSpan w:val="2"/>
            <w:noWrap/>
            <w:vAlign w:val="center"/>
          </w:tcPr>
          <w:p w14:paraId="220D665C">
            <w:pPr>
              <w:jc w:val="center"/>
              <w:rPr>
                <w:szCs w:val="21"/>
              </w:rPr>
            </w:pPr>
          </w:p>
        </w:tc>
        <w:tc>
          <w:tcPr>
            <w:tcW w:w="1292" w:type="dxa"/>
            <w:tcBorders>
              <w:right w:val="single" w:color="auto" w:sz="4" w:space="0"/>
            </w:tcBorders>
            <w:noWrap/>
            <w:vAlign w:val="center"/>
          </w:tcPr>
          <w:p w14:paraId="7E52C0D5">
            <w:pPr>
              <w:jc w:val="center"/>
              <w:rPr>
                <w:szCs w:val="21"/>
              </w:rPr>
            </w:pPr>
          </w:p>
        </w:tc>
        <w:tc>
          <w:tcPr>
            <w:tcW w:w="2063" w:type="dxa"/>
            <w:gridSpan w:val="2"/>
            <w:tcBorders>
              <w:left w:val="single" w:color="auto" w:sz="4" w:space="0"/>
              <w:right w:val="single" w:color="auto" w:sz="12" w:space="0"/>
            </w:tcBorders>
            <w:noWrap/>
            <w:vAlign w:val="center"/>
          </w:tcPr>
          <w:p w14:paraId="474A849D">
            <w:pPr>
              <w:jc w:val="center"/>
              <w:rPr>
                <w:szCs w:val="21"/>
              </w:rPr>
            </w:pPr>
          </w:p>
        </w:tc>
      </w:tr>
      <w:tr w14:paraId="301E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58" w:type="dxa"/>
            <w:tcBorders>
              <w:left w:val="single" w:color="auto" w:sz="12" w:space="0"/>
              <w:bottom w:val="single" w:color="auto" w:sz="4" w:space="0"/>
            </w:tcBorders>
            <w:noWrap/>
            <w:vAlign w:val="center"/>
          </w:tcPr>
          <w:p w14:paraId="222AC8BD">
            <w:pPr>
              <w:jc w:val="center"/>
              <w:rPr>
                <w:szCs w:val="21"/>
              </w:rPr>
            </w:pPr>
            <w:r>
              <w:rPr>
                <w:szCs w:val="21"/>
              </w:rPr>
              <w:t>校准人员</w:t>
            </w:r>
          </w:p>
        </w:tc>
        <w:tc>
          <w:tcPr>
            <w:tcW w:w="1536" w:type="dxa"/>
            <w:gridSpan w:val="2"/>
            <w:tcBorders>
              <w:bottom w:val="single" w:color="auto" w:sz="4" w:space="0"/>
            </w:tcBorders>
            <w:noWrap/>
            <w:vAlign w:val="center"/>
          </w:tcPr>
          <w:p w14:paraId="1E7E2F8C">
            <w:pPr>
              <w:jc w:val="center"/>
              <w:rPr>
                <w:szCs w:val="21"/>
              </w:rPr>
            </w:pPr>
          </w:p>
        </w:tc>
        <w:tc>
          <w:tcPr>
            <w:tcW w:w="1065" w:type="dxa"/>
            <w:gridSpan w:val="2"/>
            <w:tcBorders>
              <w:bottom w:val="single" w:color="auto" w:sz="4" w:space="0"/>
            </w:tcBorders>
            <w:noWrap/>
            <w:vAlign w:val="center"/>
          </w:tcPr>
          <w:p w14:paraId="0D60B517">
            <w:pPr>
              <w:jc w:val="center"/>
              <w:rPr>
                <w:szCs w:val="21"/>
              </w:rPr>
            </w:pPr>
            <w:r>
              <w:rPr>
                <w:szCs w:val="21"/>
              </w:rPr>
              <w:t>校准日期</w:t>
            </w:r>
          </w:p>
        </w:tc>
        <w:tc>
          <w:tcPr>
            <w:tcW w:w="2593" w:type="dxa"/>
            <w:gridSpan w:val="4"/>
            <w:tcBorders>
              <w:bottom w:val="single" w:color="auto" w:sz="4" w:space="0"/>
            </w:tcBorders>
            <w:noWrap/>
            <w:vAlign w:val="center"/>
          </w:tcPr>
          <w:p w14:paraId="622AEC2F">
            <w:pPr>
              <w:jc w:val="right"/>
              <w:rPr>
                <w:szCs w:val="21"/>
              </w:rPr>
            </w:pPr>
          </w:p>
        </w:tc>
        <w:tc>
          <w:tcPr>
            <w:tcW w:w="1292" w:type="dxa"/>
            <w:tcBorders>
              <w:bottom w:val="single" w:color="auto" w:sz="4" w:space="0"/>
            </w:tcBorders>
            <w:noWrap/>
            <w:vAlign w:val="center"/>
          </w:tcPr>
          <w:p w14:paraId="72308592">
            <w:pPr>
              <w:jc w:val="center"/>
              <w:rPr>
                <w:szCs w:val="21"/>
              </w:rPr>
            </w:pPr>
            <w:r>
              <w:rPr>
                <w:szCs w:val="21"/>
              </w:rPr>
              <w:t>核验人员</w:t>
            </w:r>
          </w:p>
        </w:tc>
        <w:tc>
          <w:tcPr>
            <w:tcW w:w="2063" w:type="dxa"/>
            <w:gridSpan w:val="2"/>
            <w:tcBorders>
              <w:bottom w:val="single" w:color="auto" w:sz="4" w:space="0"/>
              <w:right w:val="single" w:color="auto" w:sz="12" w:space="0"/>
            </w:tcBorders>
            <w:noWrap/>
            <w:vAlign w:val="center"/>
          </w:tcPr>
          <w:p w14:paraId="765890A7">
            <w:pPr>
              <w:jc w:val="center"/>
              <w:rPr>
                <w:szCs w:val="21"/>
              </w:rPr>
            </w:pPr>
          </w:p>
        </w:tc>
      </w:tr>
      <w:tr w14:paraId="3284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58" w:type="dxa"/>
            <w:tcBorders>
              <w:top w:val="single" w:color="auto" w:sz="4" w:space="0"/>
              <w:left w:val="single" w:color="auto" w:sz="12" w:space="0"/>
              <w:bottom w:val="double" w:color="auto" w:sz="6" w:space="0"/>
            </w:tcBorders>
            <w:noWrap/>
            <w:vAlign w:val="center"/>
          </w:tcPr>
          <w:p w14:paraId="742AE07D">
            <w:pPr>
              <w:jc w:val="center"/>
              <w:rPr>
                <w:szCs w:val="21"/>
              </w:rPr>
            </w:pPr>
            <w:r>
              <w:rPr>
                <w:szCs w:val="21"/>
              </w:rPr>
              <w:t>依据文件</w:t>
            </w:r>
          </w:p>
        </w:tc>
        <w:tc>
          <w:tcPr>
            <w:tcW w:w="8549" w:type="dxa"/>
            <w:gridSpan w:val="11"/>
            <w:tcBorders>
              <w:top w:val="single" w:color="auto" w:sz="4" w:space="0"/>
              <w:bottom w:val="double" w:color="auto" w:sz="6" w:space="0"/>
              <w:right w:val="single" w:color="auto" w:sz="12" w:space="0"/>
            </w:tcBorders>
            <w:noWrap/>
            <w:vAlign w:val="center"/>
          </w:tcPr>
          <w:p w14:paraId="3B40629E">
            <w:pPr>
              <w:jc w:val="left"/>
              <w:rPr>
                <w:szCs w:val="21"/>
              </w:rPr>
            </w:pPr>
          </w:p>
        </w:tc>
      </w:tr>
      <w:tr w14:paraId="0037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951" w:type="dxa"/>
            <w:gridSpan w:val="2"/>
            <w:tcBorders>
              <w:top w:val="double" w:color="auto" w:sz="6" w:space="0"/>
              <w:left w:val="single" w:color="auto" w:sz="12" w:space="0"/>
            </w:tcBorders>
            <w:noWrap/>
            <w:vAlign w:val="center"/>
          </w:tcPr>
          <w:p w14:paraId="16FD4760">
            <w:pPr>
              <w:jc w:val="center"/>
              <w:rPr>
                <w:szCs w:val="21"/>
              </w:rPr>
            </w:pPr>
            <w:r>
              <w:rPr>
                <w:szCs w:val="21"/>
              </w:rPr>
              <w:t>主标准器具名称</w:t>
            </w:r>
          </w:p>
        </w:tc>
        <w:tc>
          <w:tcPr>
            <w:tcW w:w="1276" w:type="dxa"/>
            <w:gridSpan w:val="2"/>
            <w:tcBorders>
              <w:top w:val="double" w:color="auto" w:sz="6" w:space="0"/>
            </w:tcBorders>
            <w:noWrap/>
            <w:vAlign w:val="center"/>
          </w:tcPr>
          <w:p w14:paraId="54CFE8DD">
            <w:pPr>
              <w:jc w:val="center"/>
              <w:rPr>
                <w:szCs w:val="21"/>
              </w:rPr>
            </w:pPr>
            <w:r>
              <w:rPr>
                <w:szCs w:val="21"/>
              </w:rPr>
              <w:t>规格型号</w:t>
            </w:r>
          </w:p>
        </w:tc>
        <w:tc>
          <w:tcPr>
            <w:tcW w:w="1134" w:type="dxa"/>
            <w:gridSpan w:val="2"/>
            <w:tcBorders>
              <w:top w:val="double" w:color="auto" w:sz="6" w:space="0"/>
            </w:tcBorders>
            <w:noWrap/>
            <w:vAlign w:val="center"/>
          </w:tcPr>
          <w:p w14:paraId="56408550">
            <w:pPr>
              <w:jc w:val="center"/>
              <w:rPr>
                <w:szCs w:val="21"/>
              </w:rPr>
            </w:pPr>
            <w:r>
              <w:rPr>
                <w:szCs w:val="21"/>
              </w:rPr>
              <w:t>设备编号</w:t>
            </w:r>
          </w:p>
        </w:tc>
        <w:tc>
          <w:tcPr>
            <w:tcW w:w="1596" w:type="dxa"/>
            <w:gridSpan w:val="2"/>
            <w:tcBorders>
              <w:top w:val="double" w:color="auto" w:sz="6" w:space="0"/>
            </w:tcBorders>
            <w:vAlign w:val="center"/>
          </w:tcPr>
          <w:p w14:paraId="61DBE05B">
            <w:pPr>
              <w:jc w:val="center"/>
              <w:rPr>
                <w:szCs w:val="21"/>
              </w:rPr>
            </w:pPr>
            <w:r>
              <w:rPr>
                <w:szCs w:val="21"/>
              </w:rPr>
              <w:t>溯源机构名称/证书编号</w:t>
            </w:r>
          </w:p>
        </w:tc>
        <w:tc>
          <w:tcPr>
            <w:tcW w:w="2385" w:type="dxa"/>
            <w:gridSpan w:val="3"/>
            <w:tcBorders>
              <w:top w:val="double" w:color="auto" w:sz="6" w:space="0"/>
            </w:tcBorders>
            <w:noWrap/>
            <w:vAlign w:val="center"/>
          </w:tcPr>
          <w:p w14:paraId="2B104B1E">
            <w:pPr>
              <w:jc w:val="center"/>
              <w:rPr>
                <w:szCs w:val="21"/>
              </w:rPr>
            </w:pPr>
            <w:r>
              <w:rPr>
                <w:szCs w:val="21"/>
              </w:rPr>
              <w:t>准确等级或最大允许误差或扩展不确定度</w:t>
            </w:r>
          </w:p>
        </w:tc>
        <w:tc>
          <w:tcPr>
            <w:tcW w:w="1365" w:type="dxa"/>
            <w:tcBorders>
              <w:top w:val="double" w:color="auto" w:sz="6" w:space="0"/>
              <w:right w:val="single" w:color="auto" w:sz="12" w:space="0"/>
            </w:tcBorders>
            <w:noWrap/>
            <w:vAlign w:val="center"/>
          </w:tcPr>
          <w:p w14:paraId="58A0CE54">
            <w:pPr>
              <w:jc w:val="center"/>
              <w:rPr>
                <w:szCs w:val="21"/>
              </w:rPr>
            </w:pPr>
            <w:r>
              <w:rPr>
                <w:szCs w:val="21"/>
              </w:rPr>
              <w:t>有效期</w:t>
            </w:r>
          </w:p>
        </w:tc>
      </w:tr>
      <w:tr w14:paraId="4F95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951" w:type="dxa"/>
            <w:gridSpan w:val="2"/>
            <w:tcBorders>
              <w:left w:val="single" w:color="auto" w:sz="12" w:space="0"/>
            </w:tcBorders>
            <w:noWrap/>
            <w:vAlign w:val="center"/>
          </w:tcPr>
          <w:p w14:paraId="30E2AA7F">
            <w:pPr>
              <w:spacing w:line="320" w:lineRule="exact"/>
              <w:jc w:val="center"/>
              <w:rPr>
                <w:szCs w:val="21"/>
              </w:rPr>
            </w:pPr>
          </w:p>
        </w:tc>
        <w:tc>
          <w:tcPr>
            <w:tcW w:w="1276" w:type="dxa"/>
            <w:gridSpan w:val="2"/>
            <w:noWrap/>
            <w:vAlign w:val="center"/>
          </w:tcPr>
          <w:p w14:paraId="73BE34B0">
            <w:pPr>
              <w:spacing w:line="320" w:lineRule="exact"/>
              <w:jc w:val="center"/>
              <w:rPr>
                <w:szCs w:val="21"/>
              </w:rPr>
            </w:pPr>
          </w:p>
        </w:tc>
        <w:tc>
          <w:tcPr>
            <w:tcW w:w="1134" w:type="dxa"/>
            <w:gridSpan w:val="2"/>
            <w:noWrap/>
            <w:vAlign w:val="center"/>
          </w:tcPr>
          <w:p w14:paraId="0712CE62">
            <w:pPr>
              <w:spacing w:line="320" w:lineRule="exact"/>
              <w:jc w:val="center"/>
              <w:rPr>
                <w:szCs w:val="21"/>
              </w:rPr>
            </w:pPr>
          </w:p>
        </w:tc>
        <w:tc>
          <w:tcPr>
            <w:tcW w:w="1596" w:type="dxa"/>
            <w:gridSpan w:val="2"/>
            <w:vAlign w:val="center"/>
          </w:tcPr>
          <w:p w14:paraId="13AF9734">
            <w:pPr>
              <w:spacing w:line="320" w:lineRule="exact"/>
              <w:jc w:val="center"/>
              <w:rPr>
                <w:szCs w:val="21"/>
              </w:rPr>
            </w:pPr>
          </w:p>
        </w:tc>
        <w:tc>
          <w:tcPr>
            <w:tcW w:w="2385" w:type="dxa"/>
            <w:gridSpan w:val="3"/>
            <w:noWrap/>
            <w:vAlign w:val="center"/>
          </w:tcPr>
          <w:p w14:paraId="66EB3BF9">
            <w:pPr>
              <w:spacing w:line="320" w:lineRule="exact"/>
              <w:jc w:val="center"/>
              <w:rPr>
                <w:szCs w:val="21"/>
              </w:rPr>
            </w:pPr>
          </w:p>
        </w:tc>
        <w:tc>
          <w:tcPr>
            <w:tcW w:w="1365" w:type="dxa"/>
            <w:tcBorders>
              <w:right w:val="single" w:color="auto" w:sz="12" w:space="0"/>
            </w:tcBorders>
            <w:noWrap/>
            <w:vAlign w:val="center"/>
          </w:tcPr>
          <w:p w14:paraId="029FC9DD">
            <w:pPr>
              <w:tabs>
                <w:tab w:val="left" w:pos="218"/>
              </w:tabs>
              <w:jc w:val="left"/>
              <w:rPr>
                <w:szCs w:val="21"/>
              </w:rPr>
            </w:pPr>
          </w:p>
        </w:tc>
      </w:tr>
    </w:tbl>
    <w:p w14:paraId="5FB63CD3">
      <w:pPr>
        <w:autoSpaceDE w:val="0"/>
        <w:autoSpaceDN w:val="0"/>
        <w:adjustRightInd w:val="0"/>
        <w:spacing w:line="360" w:lineRule="auto"/>
        <w:jc w:val="left"/>
        <w:rPr>
          <w:szCs w:val="21"/>
        </w:rPr>
      </w:pPr>
    </w:p>
    <w:tbl>
      <w:tblPr>
        <w:tblStyle w:val="30"/>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832"/>
        <w:gridCol w:w="832"/>
        <w:gridCol w:w="832"/>
        <w:gridCol w:w="832"/>
        <w:gridCol w:w="832"/>
        <w:gridCol w:w="832"/>
        <w:gridCol w:w="832"/>
        <w:gridCol w:w="832"/>
        <w:gridCol w:w="835"/>
      </w:tblGrid>
      <w:tr w14:paraId="52A1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760" w:type="dxa"/>
            <w:gridSpan w:val="10"/>
            <w:vAlign w:val="center"/>
          </w:tcPr>
          <w:p w14:paraId="666565F9">
            <w:r>
              <w:t>一、通用技术要求：     符合□    不符合□</w:t>
            </w:r>
          </w:p>
        </w:tc>
      </w:tr>
      <w:tr w14:paraId="5462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760" w:type="dxa"/>
            <w:gridSpan w:val="10"/>
            <w:vAlign w:val="center"/>
          </w:tcPr>
          <w:p w14:paraId="23E08CEF">
            <w:pPr>
              <w:rPr>
                <w:sz w:val="18"/>
              </w:rPr>
            </w:pPr>
            <w:r>
              <w:t>二、</w:t>
            </w:r>
            <w:r>
              <w:rPr>
                <w:kern w:val="0"/>
                <w:sz w:val="24"/>
              </w:rPr>
              <w:t>幅值频率响应</w:t>
            </w:r>
          </w:p>
        </w:tc>
      </w:tr>
      <w:tr w14:paraId="1B8B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6D732843">
            <w:pPr>
              <w:jc w:val="center"/>
              <w:rPr>
                <w:sz w:val="18"/>
              </w:rPr>
            </w:pPr>
            <w:r>
              <w:rPr>
                <w:sz w:val="18"/>
              </w:rPr>
              <w:t>频率（Hz）</w:t>
            </w:r>
          </w:p>
        </w:tc>
        <w:tc>
          <w:tcPr>
            <w:tcW w:w="832" w:type="dxa"/>
            <w:vAlign w:val="center"/>
          </w:tcPr>
          <w:p w14:paraId="434D162A">
            <w:pPr>
              <w:jc w:val="center"/>
              <w:rPr>
                <w:sz w:val="18"/>
              </w:rPr>
            </w:pPr>
          </w:p>
        </w:tc>
        <w:tc>
          <w:tcPr>
            <w:tcW w:w="832" w:type="dxa"/>
            <w:vAlign w:val="center"/>
          </w:tcPr>
          <w:p w14:paraId="22C01E2F">
            <w:pPr>
              <w:jc w:val="center"/>
              <w:rPr>
                <w:sz w:val="18"/>
              </w:rPr>
            </w:pPr>
          </w:p>
        </w:tc>
        <w:tc>
          <w:tcPr>
            <w:tcW w:w="832" w:type="dxa"/>
            <w:vAlign w:val="center"/>
          </w:tcPr>
          <w:p w14:paraId="1CA7852A">
            <w:pPr>
              <w:jc w:val="center"/>
              <w:rPr>
                <w:sz w:val="18"/>
              </w:rPr>
            </w:pPr>
          </w:p>
        </w:tc>
        <w:tc>
          <w:tcPr>
            <w:tcW w:w="832" w:type="dxa"/>
            <w:vAlign w:val="center"/>
          </w:tcPr>
          <w:p w14:paraId="1A6157DF">
            <w:pPr>
              <w:jc w:val="center"/>
              <w:rPr>
                <w:sz w:val="18"/>
              </w:rPr>
            </w:pPr>
          </w:p>
        </w:tc>
        <w:tc>
          <w:tcPr>
            <w:tcW w:w="832" w:type="dxa"/>
            <w:vAlign w:val="center"/>
          </w:tcPr>
          <w:p w14:paraId="32206BA0">
            <w:pPr>
              <w:jc w:val="center"/>
              <w:rPr>
                <w:sz w:val="18"/>
              </w:rPr>
            </w:pPr>
          </w:p>
        </w:tc>
        <w:tc>
          <w:tcPr>
            <w:tcW w:w="832" w:type="dxa"/>
            <w:vAlign w:val="center"/>
          </w:tcPr>
          <w:p w14:paraId="4484B084">
            <w:pPr>
              <w:jc w:val="center"/>
              <w:rPr>
                <w:sz w:val="18"/>
              </w:rPr>
            </w:pPr>
          </w:p>
        </w:tc>
        <w:tc>
          <w:tcPr>
            <w:tcW w:w="832" w:type="dxa"/>
            <w:vAlign w:val="center"/>
          </w:tcPr>
          <w:p w14:paraId="7ABB8CCE">
            <w:pPr>
              <w:jc w:val="center"/>
              <w:rPr>
                <w:sz w:val="18"/>
              </w:rPr>
            </w:pPr>
          </w:p>
        </w:tc>
        <w:tc>
          <w:tcPr>
            <w:tcW w:w="832" w:type="dxa"/>
            <w:vAlign w:val="center"/>
          </w:tcPr>
          <w:p w14:paraId="2216DD00">
            <w:pPr>
              <w:jc w:val="center"/>
              <w:rPr>
                <w:sz w:val="18"/>
              </w:rPr>
            </w:pPr>
          </w:p>
        </w:tc>
        <w:tc>
          <w:tcPr>
            <w:tcW w:w="835" w:type="dxa"/>
            <w:vAlign w:val="center"/>
          </w:tcPr>
          <w:p w14:paraId="77349C8E">
            <w:pPr>
              <w:jc w:val="center"/>
              <w:rPr>
                <w:sz w:val="18"/>
              </w:rPr>
            </w:pPr>
          </w:p>
        </w:tc>
      </w:tr>
      <w:tr w14:paraId="104D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013BAF01">
            <w:pPr>
              <w:jc w:val="center"/>
              <w:rPr>
                <w:sz w:val="18"/>
              </w:rPr>
            </w:pPr>
            <w:r>
              <w:rPr>
                <w:sz w:val="18"/>
              </w:rPr>
              <w:t>标准值（  ）</w:t>
            </w:r>
          </w:p>
        </w:tc>
        <w:tc>
          <w:tcPr>
            <w:tcW w:w="832" w:type="dxa"/>
            <w:vAlign w:val="center"/>
          </w:tcPr>
          <w:p w14:paraId="23083486">
            <w:pPr>
              <w:jc w:val="center"/>
              <w:rPr>
                <w:sz w:val="18"/>
              </w:rPr>
            </w:pPr>
          </w:p>
        </w:tc>
        <w:tc>
          <w:tcPr>
            <w:tcW w:w="832" w:type="dxa"/>
            <w:vAlign w:val="center"/>
          </w:tcPr>
          <w:p w14:paraId="61876195">
            <w:pPr>
              <w:jc w:val="center"/>
              <w:rPr>
                <w:sz w:val="18"/>
              </w:rPr>
            </w:pPr>
          </w:p>
        </w:tc>
        <w:tc>
          <w:tcPr>
            <w:tcW w:w="832" w:type="dxa"/>
            <w:vAlign w:val="center"/>
          </w:tcPr>
          <w:p w14:paraId="5C7B1937">
            <w:pPr>
              <w:jc w:val="center"/>
              <w:rPr>
                <w:sz w:val="18"/>
              </w:rPr>
            </w:pPr>
          </w:p>
        </w:tc>
        <w:tc>
          <w:tcPr>
            <w:tcW w:w="832" w:type="dxa"/>
            <w:vAlign w:val="center"/>
          </w:tcPr>
          <w:p w14:paraId="0535ADB4">
            <w:pPr>
              <w:jc w:val="center"/>
              <w:rPr>
                <w:sz w:val="18"/>
              </w:rPr>
            </w:pPr>
          </w:p>
        </w:tc>
        <w:tc>
          <w:tcPr>
            <w:tcW w:w="832" w:type="dxa"/>
            <w:vAlign w:val="center"/>
          </w:tcPr>
          <w:p w14:paraId="6905512A">
            <w:pPr>
              <w:jc w:val="center"/>
              <w:rPr>
                <w:sz w:val="18"/>
              </w:rPr>
            </w:pPr>
          </w:p>
        </w:tc>
        <w:tc>
          <w:tcPr>
            <w:tcW w:w="832" w:type="dxa"/>
            <w:vAlign w:val="center"/>
          </w:tcPr>
          <w:p w14:paraId="0540649F">
            <w:pPr>
              <w:jc w:val="center"/>
              <w:rPr>
                <w:sz w:val="18"/>
              </w:rPr>
            </w:pPr>
          </w:p>
        </w:tc>
        <w:tc>
          <w:tcPr>
            <w:tcW w:w="832" w:type="dxa"/>
            <w:vAlign w:val="center"/>
          </w:tcPr>
          <w:p w14:paraId="4B9AF673">
            <w:pPr>
              <w:jc w:val="center"/>
              <w:rPr>
                <w:sz w:val="18"/>
              </w:rPr>
            </w:pPr>
          </w:p>
        </w:tc>
        <w:tc>
          <w:tcPr>
            <w:tcW w:w="832" w:type="dxa"/>
            <w:vAlign w:val="center"/>
          </w:tcPr>
          <w:p w14:paraId="541422A5">
            <w:pPr>
              <w:jc w:val="center"/>
              <w:rPr>
                <w:sz w:val="18"/>
              </w:rPr>
            </w:pPr>
          </w:p>
        </w:tc>
        <w:tc>
          <w:tcPr>
            <w:tcW w:w="835" w:type="dxa"/>
            <w:vAlign w:val="center"/>
          </w:tcPr>
          <w:p w14:paraId="07DB9C2A">
            <w:pPr>
              <w:jc w:val="center"/>
              <w:rPr>
                <w:sz w:val="18"/>
              </w:rPr>
            </w:pPr>
          </w:p>
        </w:tc>
      </w:tr>
      <w:tr w14:paraId="26EA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restart"/>
            <w:vAlign w:val="center"/>
          </w:tcPr>
          <w:p w14:paraId="600111FD">
            <w:pPr>
              <w:jc w:val="center"/>
              <w:rPr>
                <w:sz w:val="18"/>
              </w:rPr>
            </w:pPr>
            <w:r>
              <w:rPr>
                <w:sz w:val="18"/>
              </w:rPr>
              <w:t>电梯加速度</w:t>
            </w:r>
          </w:p>
          <w:p w14:paraId="47265A18">
            <w:pPr>
              <w:jc w:val="center"/>
              <w:rPr>
                <w:sz w:val="18"/>
              </w:rPr>
            </w:pPr>
            <w:r>
              <w:rPr>
                <w:sz w:val="18"/>
              </w:rPr>
              <w:t>测试仪示值（  ）</w:t>
            </w:r>
          </w:p>
        </w:tc>
        <w:tc>
          <w:tcPr>
            <w:tcW w:w="832" w:type="dxa"/>
            <w:vAlign w:val="center"/>
          </w:tcPr>
          <w:p w14:paraId="622D9C3D">
            <w:pPr>
              <w:jc w:val="center"/>
              <w:rPr>
                <w:sz w:val="18"/>
              </w:rPr>
            </w:pPr>
          </w:p>
        </w:tc>
        <w:tc>
          <w:tcPr>
            <w:tcW w:w="832" w:type="dxa"/>
            <w:vAlign w:val="center"/>
          </w:tcPr>
          <w:p w14:paraId="4A254E5F">
            <w:pPr>
              <w:jc w:val="center"/>
              <w:rPr>
                <w:sz w:val="18"/>
              </w:rPr>
            </w:pPr>
          </w:p>
        </w:tc>
        <w:tc>
          <w:tcPr>
            <w:tcW w:w="832" w:type="dxa"/>
            <w:vAlign w:val="center"/>
          </w:tcPr>
          <w:p w14:paraId="0E49EDC5">
            <w:pPr>
              <w:jc w:val="center"/>
              <w:rPr>
                <w:sz w:val="18"/>
              </w:rPr>
            </w:pPr>
          </w:p>
        </w:tc>
        <w:tc>
          <w:tcPr>
            <w:tcW w:w="832" w:type="dxa"/>
            <w:vAlign w:val="center"/>
          </w:tcPr>
          <w:p w14:paraId="5CC13C64">
            <w:pPr>
              <w:jc w:val="center"/>
              <w:rPr>
                <w:sz w:val="18"/>
              </w:rPr>
            </w:pPr>
          </w:p>
        </w:tc>
        <w:tc>
          <w:tcPr>
            <w:tcW w:w="832" w:type="dxa"/>
            <w:vAlign w:val="center"/>
          </w:tcPr>
          <w:p w14:paraId="5D0B8945">
            <w:pPr>
              <w:jc w:val="center"/>
              <w:rPr>
                <w:sz w:val="18"/>
              </w:rPr>
            </w:pPr>
          </w:p>
        </w:tc>
        <w:tc>
          <w:tcPr>
            <w:tcW w:w="832" w:type="dxa"/>
            <w:vAlign w:val="center"/>
          </w:tcPr>
          <w:p w14:paraId="1F69AFE8">
            <w:pPr>
              <w:jc w:val="center"/>
              <w:rPr>
                <w:sz w:val="18"/>
              </w:rPr>
            </w:pPr>
          </w:p>
        </w:tc>
        <w:tc>
          <w:tcPr>
            <w:tcW w:w="832" w:type="dxa"/>
            <w:vAlign w:val="center"/>
          </w:tcPr>
          <w:p w14:paraId="485E61B9">
            <w:pPr>
              <w:jc w:val="center"/>
              <w:rPr>
                <w:sz w:val="18"/>
              </w:rPr>
            </w:pPr>
          </w:p>
        </w:tc>
        <w:tc>
          <w:tcPr>
            <w:tcW w:w="832" w:type="dxa"/>
            <w:vAlign w:val="center"/>
          </w:tcPr>
          <w:p w14:paraId="49469BE2">
            <w:pPr>
              <w:jc w:val="center"/>
              <w:rPr>
                <w:sz w:val="18"/>
              </w:rPr>
            </w:pPr>
          </w:p>
        </w:tc>
        <w:tc>
          <w:tcPr>
            <w:tcW w:w="835" w:type="dxa"/>
            <w:vAlign w:val="center"/>
          </w:tcPr>
          <w:p w14:paraId="72A033EA">
            <w:pPr>
              <w:jc w:val="center"/>
              <w:rPr>
                <w:sz w:val="18"/>
              </w:rPr>
            </w:pPr>
          </w:p>
        </w:tc>
      </w:tr>
      <w:tr w14:paraId="6393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1679D4AD">
            <w:pPr>
              <w:jc w:val="center"/>
              <w:rPr>
                <w:sz w:val="18"/>
              </w:rPr>
            </w:pPr>
          </w:p>
        </w:tc>
        <w:tc>
          <w:tcPr>
            <w:tcW w:w="832" w:type="dxa"/>
            <w:vAlign w:val="center"/>
          </w:tcPr>
          <w:p w14:paraId="223B42E9">
            <w:pPr>
              <w:jc w:val="center"/>
              <w:rPr>
                <w:sz w:val="18"/>
              </w:rPr>
            </w:pPr>
          </w:p>
        </w:tc>
        <w:tc>
          <w:tcPr>
            <w:tcW w:w="832" w:type="dxa"/>
            <w:vAlign w:val="center"/>
          </w:tcPr>
          <w:p w14:paraId="70615ACA">
            <w:pPr>
              <w:jc w:val="center"/>
              <w:rPr>
                <w:sz w:val="18"/>
              </w:rPr>
            </w:pPr>
          </w:p>
        </w:tc>
        <w:tc>
          <w:tcPr>
            <w:tcW w:w="832" w:type="dxa"/>
            <w:vAlign w:val="center"/>
          </w:tcPr>
          <w:p w14:paraId="2867EC19">
            <w:pPr>
              <w:jc w:val="center"/>
              <w:rPr>
                <w:sz w:val="18"/>
              </w:rPr>
            </w:pPr>
          </w:p>
        </w:tc>
        <w:tc>
          <w:tcPr>
            <w:tcW w:w="832" w:type="dxa"/>
            <w:vAlign w:val="center"/>
          </w:tcPr>
          <w:p w14:paraId="6F167C74">
            <w:pPr>
              <w:jc w:val="center"/>
              <w:rPr>
                <w:sz w:val="18"/>
              </w:rPr>
            </w:pPr>
          </w:p>
        </w:tc>
        <w:tc>
          <w:tcPr>
            <w:tcW w:w="832" w:type="dxa"/>
            <w:vAlign w:val="center"/>
          </w:tcPr>
          <w:p w14:paraId="11315BA9">
            <w:pPr>
              <w:jc w:val="center"/>
              <w:rPr>
                <w:sz w:val="18"/>
              </w:rPr>
            </w:pPr>
          </w:p>
        </w:tc>
        <w:tc>
          <w:tcPr>
            <w:tcW w:w="832" w:type="dxa"/>
            <w:vAlign w:val="center"/>
          </w:tcPr>
          <w:p w14:paraId="50C51EA3">
            <w:pPr>
              <w:jc w:val="center"/>
              <w:rPr>
                <w:sz w:val="18"/>
              </w:rPr>
            </w:pPr>
          </w:p>
        </w:tc>
        <w:tc>
          <w:tcPr>
            <w:tcW w:w="832" w:type="dxa"/>
            <w:vAlign w:val="center"/>
          </w:tcPr>
          <w:p w14:paraId="084553D5">
            <w:pPr>
              <w:jc w:val="center"/>
              <w:rPr>
                <w:sz w:val="18"/>
              </w:rPr>
            </w:pPr>
          </w:p>
        </w:tc>
        <w:tc>
          <w:tcPr>
            <w:tcW w:w="832" w:type="dxa"/>
            <w:vAlign w:val="center"/>
          </w:tcPr>
          <w:p w14:paraId="76CCA7BE">
            <w:pPr>
              <w:jc w:val="center"/>
              <w:rPr>
                <w:sz w:val="18"/>
              </w:rPr>
            </w:pPr>
          </w:p>
        </w:tc>
        <w:tc>
          <w:tcPr>
            <w:tcW w:w="835" w:type="dxa"/>
            <w:vAlign w:val="center"/>
          </w:tcPr>
          <w:p w14:paraId="47842E09">
            <w:pPr>
              <w:jc w:val="center"/>
              <w:rPr>
                <w:sz w:val="18"/>
              </w:rPr>
            </w:pPr>
          </w:p>
        </w:tc>
      </w:tr>
      <w:tr w14:paraId="2B88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4E8B569D">
            <w:pPr>
              <w:jc w:val="center"/>
              <w:rPr>
                <w:sz w:val="18"/>
              </w:rPr>
            </w:pPr>
          </w:p>
        </w:tc>
        <w:tc>
          <w:tcPr>
            <w:tcW w:w="832" w:type="dxa"/>
            <w:vAlign w:val="center"/>
          </w:tcPr>
          <w:p w14:paraId="25192D3D">
            <w:pPr>
              <w:jc w:val="center"/>
              <w:rPr>
                <w:sz w:val="18"/>
              </w:rPr>
            </w:pPr>
          </w:p>
        </w:tc>
        <w:tc>
          <w:tcPr>
            <w:tcW w:w="832" w:type="dxa"/>
            <w:vAlign w:val="center"/>
          </w:tcPr>
          <w:p w14:paraId="3B008717">
            <w:pPr>
              <w:jc w:val="center"/>
              <w:rPr>
                <w:sz w:val="18"/>
              </w:rPr>
            </w:pPr>
          </w:p>
        </w:tc>
        <w:tc>
          <w:tcPr>
            <w:tcW w:w="832" w:type="dxa"/>
            <w:vAlign w:val="center"/>
          </w:tcPr>
          <w:p w14:paraId="0B40D154">
            <w:pPr>
              <w:jc w:val="center"/>
              <w:rPr>
                <w:sz w:val="18"/>
              </w:rPr>
            </w:pPr>
          </w:p>
        </w:tc>
        <w:tc>
          <w:tcPr>
            <w:tcW w:w="832" w:type="dxa"/>
            <w:vAlign w:val="center"/>
          </w:tcPr>
          <w:p w14:paraId="0DF0F823">
            <w:pPr>
              <w:jc w:val="center"/>
              <w:rPr>
                <w:sz w:val="18"/>
              </w:rPr>
            </w:pPr>
          </w:p>
        </w:tc>
        <w:tc>
          <w:tcPr>
            <w:tcW w:w="832" w:type="dxa"/>
            <w:vAlign w:val="center"/>
          </w:tcPr>
          <w:p w14:paraId="02F49EA1">
            <w:pPr>
              <w:jc w:val="center"/>
              <w:rPr>
                <w:sz w:val="18"/>
              </w:rPr>
            </w:pPr>
          </w:p>
        </w:tc>
        <w:tc>
          <w:tcPr>
            <w:tcW w:w="832" w:type="dxa"/>
            <w:vAlign w:val="center"/>
          </w:tcPr>
          <w:p w14:paraId="2DABA7E4">
            <w:pPr>
              <w:jc w:val="center"/>
              <w:rPr>
                <w:sz w:val="18"/>
              </w:rPr>
            </w:pPr>
          </w:p>
        </w:tc>
        <w:tc>
          <w:tcPr>
            <w:tcW w:w="832" w:type="dxa"/>
            <w:vAlign w:val="center"/>
          </w:tcPr>
          <w:p w14:paraId="1D38B2B0">
            <w:pPr>
              <w:jc w:val="center"/>
              <w:rPr>
                <w:sz w:val="18"/>
              </w:rPr>
            </w:pPr>
          </w:p>
        </w:tc>
        <w:tc>
          <w:tcPr>
            <w:tcW w:w="832" w:type="dxa"/>
            <w:vAlign w:val="center"/>
          </w:tcPr>
          <w:p w14:paraId="798A5FF8">
            <w:pPr>
              <w:jc w:val="center"/>
              <w:rPr>
                <w:sz w:val="18"/>
              </w:rPr>
            </w:pPr>
          </w:p>
        </w:tc>
        <w:tc>
          <w:tcPr>
            <w:tcW w:w="835" w:type="dxa"/>
            <w:vAlign w:val="center"/>
          </w:tcPr>
          <w:p w14:paraId="4CD456ED">
            <w:pPr>
              <w:jc w:val="center"/>
              <w:rPr>
                <w:sz w:val="18"/>
              </w:rPr>
            </w:pPr>
          </w:p>
        </w:tc>
      </w:tr>
      <w:tr w14:paraId="55E6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7F2DD7CA">
            <w:pPr>
              <w:jc w:val="center"/>
              <w:rPr>
                <w:iCs/>
                <w:sz w:val="18"/>
              </w:rPr>
            </w:pPr>
            <w:r>
              <w:rPr>
                <w:iCs/>
                <w:sz w:val="18"/>
              </w:rPr>
              <w:t>相对误差(%)</w:t>
            </w:r>
          </w:p>
        </w:tc>
        <w:tc>
          <w:tcPr>
            <w:tcW w:w="832" w:type="dxa"/>
            <w:vAlign w:val="center"/>
          </w:tcPr>
          <w:p w14:paraId="3A276C79">
            <w:pPr>
              <w:jc w:val="center"/>
              <w:rPr>
                <w:sz w:val="18"/>
              </w:rPr>
            </w:pPr>
          </w:p>
        </w:tc>
        <w:tc>
          <w:tcPr>
            <w:tcW w:w="832" w:type="dxa"/>
            <w:vAlign w:val="center"/>
          </w:tcPr>
          <w:p w14:paraId="57DD7BAB">
            <w:pPr>
              <w:jc w:val="center"/>
              <w:rPr>
                <w:sz w:val="18"/>
              </w:rPr>
            </w:pPr>
          </w:p>
        </w:tc>
        <w:tc>
          <w:tcPr>
            <w:tcW w:w="832" w:type="dxa"/>
            <w:vAlign w:val="center"/>
          </w:tcPr>
          <w:p w14:paraId="1878FE3B">
            <w:pPr>
              <w:jc w:val="center"/>
              <w:rPr>
                <w:sz w:val="18"/>
              </w:rPr>
            </w:pPr>
          </w:p>
        </w:tc>
        <w:tc>
          <w:tcPr>
            <w:tcW w:w="832" w:type="dxa"/>
            <w:vAlign w:val="center"/>
          </w:tcPr>
          <w:p w14:paraId="1F36A4C7">
            <w:pPr>
              <w:jc w:val="center"/>
              <w:rPr>
                <w:sz w:val="18"/>
              </w:rPr>
            </w:pPr>
          </w:p>
        </w:tc>
        <w:tc>
          <w:tcPr>
            <w:tcW w:w="832" w:type="dxa"/>
            <w:vAlign w:val="center"/>
          </w:tcPr>
          <w:p w14:paraId="328BBCEE">
            <w:pPr>
              <w:jc w:val="center"/>
              <w:rPr>
                <w:sz w:val="18"/>
              </w:rPr>
            </w:pPr>
          </w:p>
        </w:tc>
        <w:tc>
          <w:tcPr>
            <w:tcW w:w="832" w:type="dxa"/>
            <w:vAlign w:val="center"/>
          </w:tcPr>
          <w:p w14:paraId="3F9FA060">
            <w:pPr>
              <w:jc w:val="center"/>
              <w:rPr>
                <w:sz w:val="18"/>
              </w:rPr>
            </w:pPr>
          </w:p>
        </w:tc>
        <w:tc>
          <w:tcPr>
            <w:tcW w:w="832" w:type="dxa"/>
            <w:vAlign w:val="center"/>
          </w:tcPr>
          <w:p w14:paraId="08DAF2B7">
            <w:pPr>
              <w:jc w:val="center"/>
              <w:rPr>
                <w:sz w:val="18"/>
              </w:rPr>
            </w:pPr>
          </w:p>
        </w:tc>
        <w:tc>
          <w:tcPr>
            <w:tcW w:w="832" w:type="dxa"/>
            <w:vAlign w:val="center"/>
          </w:tcPr>
          <w:p w14:paraId="78752E4F">
            <w:pPr>
              <w:jc w:val="center"/>
              <w:rPr>
                <w:sz w:val="18"/>
              </w:rPr>
            </w:pPr>
          </w:p>
        </w:tc>
        <w:tc>
          <w:tcPr>
            <w:tcW w:w="835" w:type="dxa"/>
            <w:vAlign w:val="center"/>
          </w:tcPr>
          <w:p w14:paraId="58FEA632">
            <w:pPr>
              <w:jc w:val="center"/>
              <w:rPr>
                <w:sz w:val="18"/>
              </w:rPr>
            </w:pPr>
          </w:p>
        </w:tc>
      </w:tr>
      <w:tr w14:paraId="4C75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3FF41117">
            <w:pPr>
              <w:jc w:val="center"/>
              <w:rPr>
                <w:sz w:val="18"/>
              </w:rPr>
            </w:pPr>
            <w:r>
              <w:rPr>
                <w:i/>
                <w:sz w:val="18"/>
              </w:rPr>
              <w:t>U</w:t>
            </w:r>
            <w:r>
              <w:rPr>
                <w:sz w:val="18"/>
                <w:vertAlign w:val="subscript"/>
              </w:rPr>
              <w:t>rel</w:t>
            </w:r>
            <w:r>
              <w:rPr>
                <w:sz w:val="18"/>
              </w:rPr>
              <w:t>（</w:t>
            </w:r>
            <w:r>
              <w:rPr>
                <w:i/>
                <w:sz w:val="18"/>
              </w:rPr>
              <w:t>k</w:t>
            </w:r>
            <w:r>
              <w:rPr>
                <w:sz w:val="18"/>
              </w:rPr>
              <w:t>=2）</w:t>
            </w:r>
          </w:p>
        </w:tc>
        <w:tc>
          <w:tcPr>
            <w:tcW w:w="832" w:type="dxa"/>
            <w:vAlign w:val="center"/>
          </w:tcPr>
          <w:p w14:paraId="30C34A3B">
            <w:pPr>
              <w:jc w:val="center"/>
              <w:rPr>
                <w:sz w:val="18"/>
              </w:rPr>
            </w:pPr>
          </w:p>
        </w:tc>
        <w:tc>
          <w:tcPr>
            <w:tcW w:w="832" w:type="dxa"/>
            <w:vAlign w:val="center"/>
          </w:tcPr>
          <w:p w14:paraId="0AD65628">
            <w:pPr>
              <w:jc w:val="center"/>
              <w:rPr>
                <w:sz w:val="18"/>
              </w:rPr>
            </w:pPr>
          </w:p>
        </w:tc>
        <w:tc>
          <w:tcPr>
            <w:tcW w:w="832" w:type="dxa"/>
            <w:vAlign w:val="center"/>
          </w:tcPr>
          <w:p w14:paraId="170EC025">
            <w:pPr>
              <w:jc w:val="center"/>
              <w:rPr>
                <w:sz w:val="18"/>
              </w:rPr>
            </w:pPr>
          </w:p>
        </w:tc>
        <w:tc>
          <w:tcPr>
            <w:tcW w:w="832" w:type="dxa"/>
            <w:vAlign w:val="center"/>
          </w:tcPr>
          <w:p w14:paraId="6FC4DA04">
            <w:pPr>
              <w:jc w:val="center"/>
              <w:rPr>
                <w:sz w:val="18"/>
              </w:rPr>
            </w:pPr>
          </w:p>
        </w:tc>
        <w:tc>
          <w:tcPr>
            <w:tcW w:w="832" w:type="dxa"/>
            <w:vAlign w:val="center"/>
          </w:tcPr>
          <w:p w14:paraId="37ACBB69">
            <w:pPr>
              <w:jc w:val="center"/>
              <w:rPr>
                <w:sz w:val="18"/>
              </w:rPr>
            </w:pPr>
          </w:p>
        </w:tc>
        <w:tc>
          <w:tcPr>
            <w:tcW w:w="832" w:type="dxa"/>
            <w:vAlign w:val="center"/>
          </w:tcPr>
          <w:p w14:paraId="32966151">
            <w:pPr>
              <w:jc w:val="center"/>
              <w:rPr>
                <w:sz w:val="18"/>
              </w:rPr>
            </w:pPr>
          </w:p>
        </w:tc>
        <w:tc>
          <w:tcPr>
            <w:tcW w:w="832" w:type="dxa"/>
            <w:vAlign w:val="center"/>
          </w:tcPr>
          <w:p w14:paraId="61760C48">
            <w:pPr>
              <w:jc w:val="center"/>
              <w:rPr>
                <w:sz w:val="18"/>
              </w:rPr>
            </w:pPr>
          </w:p>
        </w:tc>
        <w:tc>
          <w:tcPr>
            <w:tcW w:w="832" w:type="dxa"/>
            <w:vAlign w:val="center"/>
          </w:tcPr>
          <w:p w14:paraId="6C66C736">
            <w:pPr>
              <w:jc w:val="center"/>
              <w:rPr>
                <w:sz w:val="18"/>
              </w:rPr>
            </w:pPr>
          </w:p>
        </w:tc>
        <w:tc>
          <w:tcPr>
            <w:tcW w:w="835" w:type="dxa"/>
            <w:vAlign w:val="center"/>
          </w:tcPr>
          <w:p w14:paraId="25831386">
            <w:pPr>
              <w:jc w:val="center"/>
              <w:rPr>
                <w:sz w:val="18"/>
              </w:rPr>
            </w:pPr>
          </w:p>
        </w:tc>
      </w:tr>
      <w:tr w14:paraId="5208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9760" w:type="dxa"/>
            <w:gridSpan w:val="10"/>
            <w:vAlign w:val="center"/>
          </w:tcPr>
          <w:p w14:paraId="082D1538">
            <w:pPr>
              <w:rPr>
                <w:sz w:val="18"/>
              </w:rPr>
            </w:pPr>
            <w:r>
              <w:rPr>
                <w:kern w:val="0"/>
                <w:sz w:val="24"/>
              </w:rPr>
              <w:t>三、幅值线性度</w:t>
            </w:r>
          </w:p>
        </w:tc>
      </w:tr>
      <w:tr w14:paraId="48F3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086B7407">
            <w:pPr>
              <w:jc w:val="center"/>
              <w:rPr>
                <w:sz w:val="18"/>
              </w:rPr>
            </w:pPr>
            <w:r>
              <w:rPr>
                <w:sz w:val="18"/>
              </w:rPr>
              <w:t>频率（Hz）</w:t>
            </w:r>
          </w:p>
        </w:tc>
        <w:tc>
          <w:tcPr>
            <w:tcW w:w="832" w:type="dxa"/>
            <w:vAlign w:val="center"/>
          </w:tcPr>
          <w:p w14:paraId="00B40206">
            <w:pPr>
              <w:jc w:val="center"/>
              <w:rPr>
                <w:sz w:val="18"/>
              </w:rPr>
            </w:pPr>
          </w:p>
        </w:tc>
        <w:tc>
          <w:tcPr>
            <w:tcW w:w="832" w:type="dxa"/>
            <w:vAlign w:val="center"/>
          </w:tcPr>
          <w:p w14:paraId="547FE909">
            <w:pPr>
              <w:jc w:val="center"/>
              <w:rPr>
                <w:sz w:val="18"/>
              </w:rPr>
            </w:pPr>
          </w:p>
        </w:tc>
        <w:tc>
          <w:tcPr>
            <w:tcW w:w="832" w:type="dxa"/>
            <w:vAlign w:val="center"/>
          </w:tcPr>
          <w:p w14:paraId="398F1ECE">
            <w:pPr>
              <w:jc w:val="center"/>
              <w:rPr>
                <w:sz w:val="18"/>
              </w:rPr>
            </w:pPr>
          </w:p>
        </w:tc>
        <w:tc>
          <w:tcPr>
            <w:tcW w:w="832" w:type="dxa"/>
            <w:vAlign w:val="center"/>
          </w:tcPr>
          <w:p w14:paraId="2AD79E2E">
            <w:pPr>
              <w:jc w:val="center"/>
              <w:rPr>
                <w:sz w:val="18"/>
              </w:rPr>
            </w:pPr>
          </w:p>
        </w:tc>
        <w:tc>
          <w:tcPr>
            <w:tcW w:w="832" w:type="dxa"/>
            <w:vAlign w:val="center"/>
          </w:tcPr>
          <w:p w14:paraId="0855FF0F">
            <w:pPr>
              <w:jc w:val="center"/>
              <w:rPr>
                <w:sz w:val="18"/>
              </w:rPr>
            </w:pPr>
          </w:p>
        </w:tc>
        <w:tc>
          <w:tcPr>
            <w:tcW w:w="832" w:type="dxa"/>
            <w:vAlign w:val="center"/>
          </w:tcPr>
          <w:p w14:paraId="6326D836">
            <w:pPr>
              <w:jc w:val="center"/>
              <w:rPr>
                <w:sz w:val="18"/>
              </w:rPr>
            </w:pPr>
          </w:p>
        </w:tc>
        <w:tc>
          <w:tcPr>
            <w:tcW w:w="832" w:type="dxa"/>
            <w:vAlign w:val="center"/>
          </w:tcPr>
          <w:p w14:paraId="26782106">
            <w:pPr>
              <w:jc w:val="center"/>
              <w:rPr>
                <w:sz w:val="18"/>
              </w:rPr>
            </w:pPr>
          </w:p>
        </w:tc>
        <w:tc>
          <w:tcPr>
            <w:tcW w:w="832" w:type="dxa"/>
            <w:vAlign w:val="center"/>
          </w:tcPr>
          <w:p w14:paraId="5DBCCE0E">
            <w:pPr>
              <w:jc w:val="center"/>
              <w:rPr>
                <w:sz w:val="18"/>
              </w:rPr>
            </w:pPr>
          </w:p>
        </w:tc>
        <w:tc>
          <w:tcPr>
            <w:tcW w:w="835" w:type="dxa"/>
            <w:vAlign w:val="center"/>
          </w:tcPr>
          <w:p w14:paraId="0FCDB6FA">
            <w:pPr>
              <w:jc w:val="center"/>
              <w:rPr>
                <w:sz w:val="18"/>
              </w:rPr>
            </w:pPr>
          </w:p>
        </w:tc>
      </w:tr>
      <w:tr w14:paraId="5604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336F415A">
            <w:pPr>
              <w:jc w:val="center"/>
              <w:rPr>
                <w:sz w:val="18"/>
              </w:rPr>
            </w:pPr>
            <w:r>
              <w:rPr>
                <w:sz w:val="18"/>
              </w:rPr>
              <w:t>标准值（  ）</w:t>
            </w:r>
          </w:p>
        </w:tc>
        <w:tc>
          <w:tcPr>
            <w:tcW w:w="832" w:type="dxa"/>
            <w:vAlign w:val="center"/>
          </w:tcPr>
          <w:p w14:paraId="6A32D585">
            <w:pPr>
              <w:jc w:val="center"/>
              <w:rPr>
                <w:sz w:val="18"/>
              </w:rPr>
            </w:pPr>
          </w:p>
        </w:tc>
        <w:tc>
          <w:tcPr>
            <w:tcW w:w="832" w:type="dxa"/>
            <w:vAlign w:val="center"/>
          </w:tcPr>
          <w:p w14:paraId="21B8BB3F">
            <w:pPr>
              <w:jc w:val="center"/>
              <w:rPr>
                <w:sz w:val="18"/>
              </w:rPr>
            </w:pPr>
          </w:p>
        </w:tc>
        <w:tc>
          <w:tcPr>
            <w:tcW w:w="832" w:type="dxa"/>
            <w:vAlign w:val="center"/>
          </w:tcPr>
          <w:p w14:paraId="6602E1F0">
            <w:pPr>
              <w:jc w:val="center"/>
              <w:rPr>
                <w:sz w:val="18"/>
              </w:rPr>
            </w:pPr>
          </w:p>
        </w:tc>
        <w:tc>
          <w:tcPr>
            <w:tcW w:w="832" w:type="dxa"/>
            <w:vAlign w:val="center"/>
          </w:tcPr>
          <w:p w14:paraId="689F2D2D">
            <w:pPr>
              <w:jc w:val="center"/>
              <w:rPr>
                <w:sz w:val="18"/>
              </w:rPr>
            </w:pPr>
          </w:p>
        </w:tc>
        <w:tc>
          <w:tcPr>
            <w:tcW w:w="832" w:type="dxa"/>
            <w:vAlign w:val="center"/>
          </w:tcPr>
          <w:p w14:paraId="2130108E">
            <w:pPr>
              <w:jc w:val="center"/>
              <w:rPr>
                <w:sz w:val="18"/>
              </w:rPr>
            </w:pPr>
          </w:p>
        </w:tc>
        <w:tc>
          <w:tcPr>
            <w:tcW w:w="832" w:type="dxa"/>
            <w:vAlign w:val="center"/>
          </w:tcPr>
          <w:p w14:paraId="3CF9C726">
            <w:pPr>
              <w:jc w:val="center"/>
              <w:rPr>
                <w:sz w:val="18"/>
              </w:rPr>
            </w:pPr>
          </w:p>
        </w:tc>
        <w:tc>
          <w:tcPr>
            <w:tcW w:w="832" w:type="dxa"/>
            <w:vAlign w:val="center"/>
          </w:tcPr>
          <w:p w14:paraId="07EC2DCE">
            <w:pPr>
              <w:jc w:val="center"/>
              <w:rPr>
                <w:sz w:val="18"/>
              </w:rPr>
            </w:pPr>
          </w:p>
        </w:tc>
        <w:tc>
          <w:tcPr>
            <w:tcW w:w="832" w:type="dxa"/>
            <w:vAlign w:val="center"/>
          </w:tcPr>
          <w:p w14:paraId="512D8993">
            <w:pPr>
              <w:jc w:val="center"/>
              <w:rPr>
                <w:sz w:val="18"/>
              </w:rPr>
            </w:pPr>
          </w:p>
        </w:tc>
        <w:tc>
          <w:tcPr>
            <w:tcW w:w="835" w:type="dxa"/>
            <w:vAlign w:val="center"/>
          </w:tcPr>
          <w:p w14:paraId="4B448A78">
            <w:pPr>
              <w:jc w:val="center"/>
              <w:rPr>
                <w:sz w:val="18"/>
              </w:rPr>
            </w:pPr>
          </w:p>
        </w:tc>
      </w:tr>
      <w:tr w14:paraId="4951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restart"/>
            <w:vAlign w:val="center"/>
          </w:tcPr>
          <w:p w14:paraId="32DD749E">
            <w:pPr>
              <w:jc w:val="center"/>
              <w:rPr>
                <w:sz w:val="18"/>
              </w:rPr>
            </w:pPr>
            <w:r>
              <w:rPr>
                <w:sz w:val="18"/>
              </w:rPr>
              <w:t>电梯加速度</w:t>
            </w:r>
          </w:p>
          <w:p w14:paraId="5AAA190E">
            <w:pPr>
              <w:jc w:val="center"/>
              <w:rPr>
                <w:sz w:val="18"/>
              </w:rPr>
            </w:pPr>
            <w:r>
              <w:rPr>
                <w:sz w:val="18"/>
              </w:rPr>
              <w:t>测试仪示值（  ）</w:t>
            </w:r>
          </w:p>
        </w:tc>
        <w:tc>
          <w:tcPr>
            <w:tcW w:w="832" w:type="dxa"/>
            <w:vAlign w:val="center"/>
          </w:tcPr>
          <w:p w14:paraId="488D5FED">
            <w:pPr>
              <w:jc w:val="center"/>
              <w:rPr>
                <w:sz w:val="18"/>
              </w:rPr>
            </w:pPr>
          </w:p>
        </w:tc>
        <w:tc>
          <w:tcPr>
            <w:tcW w:w="832" w:type="dxa"/>
            <w:vAlign w:val="center"/>
          </w:tcPr>
          <w:p w14:paraId="784D1DDA">
            <w:pPr>
              <w:jc w:val="center"/>
              <w:rPr>
                <w:sz w:val="18"/>
              </w:rPr>
            </w:pPr>
          </w:p>
        </w:tc>
        <w:tc>
          <w:tcPr>
            <w:tcW w:w="832" w:type="dxa"/>
            <w:vAlign w:val="center"/>
          </w:tcPr>
          <w:p w14:paraId="18593E11">
            <w:pPr>
              <w:jc w:val="center"/>
              <w:rPr>
                <w:sz w:val="18"/>
              </w:rPr>
            </w:pPr>
          </w:p>
        </w:tc>
        <w:tc>
          <w:tcPr>
            <w:tcW w:w="832" w:type="dxa"/>
            <w:vAlign w:val="center"/>
          </w:tcPr>
          <w:p w14:paraId="2468F57C">
            <w:pPr>
              <w:jc w:val="center"/>
              <w:rPr>
                <w:sz w:val="18"/>
              </w:rPr>
            </w:pPr>
          </w:p>
        </w:tc>
        <w:tc>
          <w:tcPr>
            <w:tcW w:w="832" w:type="dxa"/>
            <w:vAlign w:val="center"/>
          </w:tcPr>
          <w:p w14:paraId="4A9A87C0">
            <w:pPr>
              <w:jc w:val="center"/>
              <w:rPr>
                <w:sz w:val="18"/>
              </w:rPr>
            </w:pPr>
          </w:p>
        </w:tc>
        <w:tc>
          <w:tcPr>
            <w:tcW w:w="832" w:type="dxa"/>
            <w:vAlign w:val="center"/>
          </w:tcPr>
          <w:p w14:paraId="1BBB3A6B">
            <w:pPr>
              <w:jc w:val="center"/>
              <w:rPr>
                <w:sz w:val="18"/>
              </w:rPr>
            </w:pPr>
          </w:p>
        </w:tc>
        <w:tc>
          <w:tcPr>
            <w:tcW w:w="832" w:type="dxa"/>
            <w:vAlign w:val="center"/>
          </w:tcPr>
          <w:p w14:paraId="63F8E3F6">
            <w:pPr>
              <w:jc w:val="center"/>
              <w:rPr>
                <w:sz w:val="18"/>
              </w:rPr>
            </w:pPr>
          </w:p>
        </w:tc>
        <w:tc>
          <w:tcPr>
            <w:tcW w:w="832" w:type="dxa"/>
            <w:vAlign w:val="center"/>
          </w:tcPr>
          <w:p w14:paraId="4C2517BB">
            <w:pPr>
              <w:jc w:val="center"/>
              <w:rPr>
                <w:sz w:val="18"/>
              </w:rPr>
            </w:pPr>
          </w:p>
        </w:tc>
        <w:tc>
          <w:tcPr>
            <w:tcW w:w="835" w:type="dxa"/>
            <w:vAlign w:val="center"/>
          </w:tcPr>
          <w:p w14:paraId="610E90F7">
            <w:pPr>
              <w:jc w:val="center"/>
              <w:rPr>
                <w:sz w:val="18"/>
              </w:rPr>
            </w:pPr>
          </w:p>
        </w:tc>
      </w:tr>
      <w:tr w14:paraId="2B21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3123EDA6">
            <w:pPr>
              <w:jc w:val="center"/>
              <w:rPr>
                <w:sz w:val="18"/>
              </w:rPr>
            </w:pPr>
          </w:p>
        </w:tc>
        <w:tc>
          <w:tcPr>
            <w:tcW w:w="832" w:type="dxa"/>
            <w:vAlign w:val="center"/>
          </w:tcPr>
          <w:p w14:paraId="4A4BCCAB">
            <w:pPr>
              <w:jc w:val="center"/>
              <w:rPr>
                <w:sz w:val="18"/>
              </w:rPr>
            </w:pPr>
          </w:p>
        </w:tc>
        <w:tc>
          <w:tcPr>
            <w:tcW w:w="832" w:type="dxa"/>
            <w:vAlign w:val="center"/>
          </w:tcPr>
          <w:p w14:paraId="4674F4C6">
            <w:pPr>
              <w:jc w:val="center"/>
              <w:rPr>
                <w:sz w:val="18"/>
              </w:rPr>
            </w:pPr>
          </w:p>
        </w:tc>
        <w:tc>
          <w:tcPr>
            <w:tcW w:w="832" w:type="dxa"/>
            <w:vAlign w:val="center"/>
          </w:tcPr>
          <w:p w14:paraId="42B24277">
            <w:pPr>
              <w:jc w:val="center"/>
              <w:rPr>
                <w:sz w:val="18"/>
              </w:rPr>
            </w:pPr>
          </w:p>
        </w:tc>
        <w:tc>
          <w:tcPr>
            <w:tcW w:w="832" w:type="dxa"/>
            <w:vAlign w:val="center"/>
          </w:tcPr>
          <w:p w14:paraId="6029C93E">
            <w:pPr>
              <w:jc w:val="center"/>
              <w:rPr>
                <w:sz w:val="18"/>
              </w:rPr>
            </w:pPr>
          </w:p>
        </w:tc>
        <w:tc>
          <w:tcPr>
            <w:tcW w:w="832" w:type="dxa"/>
            <w:vAlign w:val="center"/>
          </w:tcPr>
          <w:p w14:paraId="08C131B3">
            <w:pPr>
              <w:jc w:val="center"/>
              <w:rPr>
                <w:sz w:val="18"/>
              </w:rPr>
            </w:pPr>
          </w:p>
        </w:tc>
        <w:tc>
          <w:tcPr>
            <w:tcW w:w="832" w:type="dxa"/>
            <w:vAlign w:val="center"/>
          </w:tcPr>
          <w:p w14:paraId="38B0965A">
            <w:pPr>
              <w:jc w:val="center"/>
              <w:rPr>
                <w:sz w:val="18"/>
              </w:rPr>
            </w:pPr>
          </w:p>
        </w:tc>
        <w:tc>
          <w:tcPr>
            <w:tcW w:w="832" w:type="dxa"/>
            <w:vAlign w:val="center"/>
          </w:tcPr>
          <w:p w14:paraId="2FF4BA3B">
            <w:pPr>
              <w:jc w:val="center"/>
              <w:rPr>
                <w:sz w:val="18"/>
              </w:rPr>
            </w:pPr>
          </w:p>
        </w:tc>
        <w:tc>
          <w:tcPr>
            <w:tcW w:w="832" w:type="dxa"/>
            <w:vAlign w:val="center"/>
          </w:tcPr>
          <w:p w14:paraId="5F6D59E5">
            <w:pPr>
              <w:jc w:val="center"/>
              <w:rPr>
                <w:sz w:val="18"/>
              </w:rPr>
            </w:pPr>
          </w:p>
        </w:tc>
        <w:tc>
          <w:tcPr>
            <w:tcW w:w="835" w:type="dxa"/>
            <w:vAlign w:val="center"/>
          </w:tcPr>
          <w:p w14:paraId="10EA4D1B">
            <w:pPr>
              <w:jc w:val="center"/>
              <w:rPr>
                <w:sz w:val="18"/>
              </w:rPr>
            </w:pPr>
          </w:p>
        </w:tc>
      </w:tr>
      <w:tr w14:paraId="3726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0E1AA5E8">
            <w:pPr>
              <w:jc w:val="center"/>
              <w:rPr>
                <w:sz w:val="18"/>
              </w:rPr>
            </w:pPr>
          </w:p>
        </w:tc>
        <w:tc>
          <w:tcPr>
            <w:tcW w:w="832" w:type="dxa"/>
            <w:vAlign w:val="center"/>
          </w:tcPr>
          <w:p w14:paraId="6E670BF5">
            <w:pPr>
              <w:jc w:val="center"/>
              <w:rPr>
                <w:sz w:val="18"/>
              </w:rPr>
            </w:pPr>
          </w:p>
        </w:tc>
        <w:tc>
          <w:tcPr>
            <w:tcW w:w="832" w:type="dxa"/>
            <w:vAlign w:val="center"/>
          </w:tcPr>
          <w:p w14:paraId="0518D996">
            <w:pPr>
              <w:jc w:val="center"/>
              <w:rPr>
                <w:sz w:val="18"/>
              </w:rPr>
            </w:pPr>
          </w:p>
        </w:tc>
        <w:tc>
          <w:tcPr>
            <w:tcW w:w="832" w:type="dxa"/>
            <w:vAlign w:val="center"/>
          </w:tcPr>
          <w:p w14:paraId="42EBAC28">
            <w:pPr>
              <w:jc w:val="center"/>
              <w:rPr>
                <w:sz w:val="18"/>
              </w:rPr>
            </w:pPr>
          </w:p>
        </w:tc>
        <w:tc>
          <w:tcPr>
            <w:tcW w:w="832" w:type="dxa"/>
            <w:vAlign w:val="center"/>
          </w:tcPr>
          <w:p w14:paraId="6D9CCF3C">
            <w:pPr>
              <w:jc w:val="center"/>
              <w:rPr>
                <w:sz w:val="18"/>
              </w:rPr>
            </w:pPr>
          </w:p>
        </w:tc>
        <w:tc>
          <w:tcPr>
            <w:tcW w:w="832" w:type="dxa"/>
            <w:vAlign w:val="center"/>
          </w:tcPr>
          <w:p w14:paraId="3E4DE0EE">
            <w:pPr>
              <w:jc w:val="center"/>
              <w:rPr>
                <w:sz w:val="18"/>
              </w:rPr>
            </w:pPr>
          </w:p>
        </w:tc>
        <w:tc>
          <w:tcPr>
            <w:tcW w:w="832" w:type="dxa"/>
            <w:vAlign w:val="center"/>
          </w:tcPr>
          <w:p w14:paraId="350647F1">
            <w:pPr>
              <w:jc w:val="center"/>
              <w:rPr>
                <w:sz w:val="18"/>
              </w:rPr>
            </w:pPr>
          </w:p>
        </w:tc>
        <w:tc>
          <w:tcPr>
            <w:tcW w:w="832" w:type="dxa"/>
            <w:vAlign w:val="center"/>
          </w:tcPr>
          <w:p w14:paraId="40AAAFEE">
            <w:pPr>
              <w:jc w:val="center"/>
              <w:rPr>
                <w:sz w:val="18"/>
              </w:rPr>
            </w:pPr>
          </w:p>
        </w:tc>
        <w:tc>
          <w:tcPr>
            <w:tcW w:w="832" w:type="dxa"/>
            <w:vAlign w:val="center"/>
          </w:tcPr>
          <w:p w14:paraId="35A966C7">
            <w:pPr>
              <w:jc w:val="center"/>
              <w:rPr>
                <w:sz w:val="18"/>
              </w:rPr>
            </w:pPr>
          </w:p>
        </w:tc>
        <w:tc>
          <w:tcPr>
            <w:tcW w:w="835" w:type="dxa"/>
            <w:vAlign w:val="center"/>
          </w:tcPr>
          <w:p w14:paraId="47EB508F">
            <w:pPr>
              <w:jc w:val="center"/>
              <w:rPr>
                <w:sz w:val="18"/>
              </w:rPr>
            </w:pPr>
          </w:p>
        </w:tc>
      </w:tr>
      <w:tr w14:paraId="47F1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3216515D">
            <w:pPr>
              <w:jc w:val="center"/>
              <w:rPr>
                <w:i/>
                <w:sz w:val="18"/>
              </w:rPr>
            </w:pPr>
            <w:r>
              <w:rPr>
                <w:iCs/>
                <w:sz w:val="18"/>
              </w:rPr>
              <w:t>相对误差(%)</w:t>
            </w:r>
          </w:p>
        </w:tc>
        <w:tc>
          <w:tcPr>
            <w:tcW w:w="832" w:type="dxa"/>
            <w:vAlign w:val="center"/>
          </w:tcPr>
          <w:p w14:paraId="13E04E78">
            <w:pPr>
              <w:jc w:val="center"/>
              <w:rPr>
                <w:sz w:val="18"/>
              </w:rPr>
            </w:pPr>
          </w:p>
        </w:tc>
        <w:tc>
          <w:tcPr>
            <w:tcW w:w="832" w:type="dxa"/>
            <w:vAlign w:val="center"/>
          </w:tcPr>
          <w:p w14:paraId="285B5BEA">
            <w:pPr>
              <w:jc w:val="center"/>
              <w:rPr>
                <w:sz w:val="18"/>
              </w:rPr>
            </w:pPr>
          </w:p>
        </w:tc>
        <w:tc>
          <w:tcPr>
            <w:tcW w:w="832" w:type="dxa"/>
            <w:vAlign w:val="center"/>
          </w:tcPr>
          <w:p w14:paraId="3DB0FB92">
            <w:pPr>
              <w:jc w:val="center"/>
              <w:rPr>
                <w:sz w:val="18"/>
              </w:rPr>
            </w:pPr>
          </w:p>
        </w:tc>
        <w:tc>
          <w:tcPr>
            <w:tcW w:w="832" w:type="dxa"/>
            <w:vAlign w:val="center"/>
          </w:tcPr>
          <w:p w14:paraId="217238E5">
            <w:pPr>
              <w:jc w:val="center"/>
              <w:rPr>
                <w:sz w:val="18"/>
              </w:rPr>
            </w:pPr>
          </w:p>
        </w:tc>
        <w:tc>
          <w:tcPr>
            <w:tcW w:w="832" w:type="dxa"/>
            <w:vAlign w:val="center"/>
          </w:tcPr>
          <w:p w14:paraId="6FDE41A7">
            <w:pPr>
              <w:jc w:val="center"/>
              <w:rPr>
                <w:sz w:val="18"/>
              </w:rPr>
            </w:pPr>
          </w:p>
        </w:tc>
        <w:tc>
          <w:tcPr>
            <w:tcW w:w="832" w:type="dxa"/>
            <w:vAlign w:val="center"/>
          </w:tcPr>
          <w:p w14:paraId="2352C12C">
            <w:pPr>
              <w:jc w:val="center"/>
              <w:rPr>
                <w:sz w:val="18"/>
              </w:rPr>
            </w:pPr>
          </w:p>
        </w:tc>
        <w:tc>
          <w:tcPr>
            <w:tcW w:w="832" w:type="dxa"/>
            <w:vAlign w:val="center"/>
          </w:tcPr>
          <w:p w14:paraId="2A678F8C">
            <w:pPr>
              <w:jc w:val="center"/>
              <w:rPr>
                <w:sz w:val="18"/>
              </w:rPr>
            </w:pPr>
          </w:p>
        </w:tc>
        <w:tc>
          <w:tcPr>
            <w:tcW w:w="832" w:type="dxa"/>
            <w:vAlign w:val="center"/>
          </w:tcPr>
          <w:p w14:paraId="7EF89B58">
            <w:pPr>
              <w:jc w:val="center"/>
              <w:rPr>
                <w:sz w:val="18"/>
              </w:rPr>
            </w:pPr>
          </w:p>
        </w:tc>
        <w:tc>
          <w:tcPr>
            <w:tcW w:w="835" w:type="dxa"/>
            <w:vAlign w:val="center"/>
          </w:tcPr>
          <w:p w14:paraId="3BB00290">
            <w:pPr>
              <w:jc w:val="center"/>
              <w:rPr>
                <w:sz w:val="18"/>
              </w:rPr>
            </w:pPr>
          </w:p>
        </w:tc>
      </w:tr>
      <w:tr w14:paraId="7F91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7EC912AB">
            <w:pPr>
              <w:jc w:val="center"/>
              <w:rPr>
                <w:sz w:val="18"/>
              </w:rPr>
            </w:pPr>
            <w:r>
              <w:rPr>
                <w:i/>
                <w:sz w:val="18"/>
              </w:rPr>
              <w:t>U</w:t>
            </w:r>
            <w:r>
              <w:rPr>
                <w:sz w:val="18"/>
                <w:vertAlign w:val="subscript"/>
              </w:rPr>
              <w:t>rel</w:t>
            </w:r>
            <w:r>
              <w:rPr>
                <w:sz w:val="18"/>
              </w:rPr>
              <w:t>（</w:t>
            </w:r>
            <w:r>
              <w:rPr>
                <w:i/>
                <w:sz w:val="18"/>
              </w:rPr>
              <w:t>k</w:t>
            </w:r>
            <w:r>
              <w:rPr>
                <w:sz w:val="18"/>
              </w:rPr>
              <w:t>=2）</w:t>
            </w:r>
          </w:p>
        </w:tc>
        <w:tc>
          <w:tcPr>
            <w:tcW w:w="832" w:type="dxa"/>
            <w:vAlign w:val="center"/>
          </w:tcPr>
          <w:p w14:paraId="6DE2987A">
            <w:pPr>
              <w:jc w:val="center"/>
              <w:rPr>
                <w:sz w:val="18"/>
              </w:rPr>
            </w:pPr>
          </w:p>
        </w:tc>
        <w:tc>
          <w:tcPr>
            <w:tcW w:w="832" w:type="dxa"/>
            <w:vAlign w:val="center"/>
          </w:tcPr>
          <w:p w14:paraId="7BFC7B7E">
            <w:pPr>
              <w:jc w:val="center"/>
              <w:rPr>
                <w:sz w:val="18"/>
              </w:rPr>
            </w:pPr>
          </w:p>
        </w:tc>
        <w:tc>
          <w:tcPr>
            <w:tcW w:w="832" w:type="dxa"/>
            <w:vAlign w:val="center"/>
          </w:tcPr>
          <w:p w14:paraId="1AFBC164">
            <w:pPr>
              <w:jc w:val="center"/>
              <w:rPr>
                <w:sz w:val="18"/>
              </w:rPr>
            </w:pPr>
          </w:p>
        </w:tc>
        <w:tc>
          <w:tcPr>
            <w:tcW w:w="832" w:type="dxa"/>
            <w:vAlign w:val="center"/>
          </w:tcPr>
          <w:p w14:paraId="0512294C">
            <w:pPr>
              <w:jc w:val="center"/>
              <w:rPr>
                <w:sz w:val="18"/>
              </w:rPr>
            </w:pPr>
          </w:p>
        </w:tc>
        <w:tc>
          <w:tcPr>
            <w:tcW w:w="832" w:type="dxa"/>
            <w:vAlign w:val="center"/>
          </w:tcPr>
          <w:p w14:paraId="58EA1449">
            <w:pPr>
              <w:jc w:val="center"/>
              <w:rPr>
                <w:sz w:val="18"/>
              </w:rPr>
            </w:pPr>
          </w:p>
        </w:tc>
        <w:tc>
          <w:tcPr>
            <w:tcW w:w="832" w:type="dxa"/>
            <w:vAlign w:val="center"/>
          </w:tcPr>
          <w:p w14:paraId="775F5B1A">
            <w:pPr>
              <w:jc w:val="center"/>
              <w:rPr>
                <w:sz w:val="18"/>
              </w:rPr>
            </w:pPr>
          </w:p>
        </w:tc>
        <w:tc>
          <w:tcPr>
            <w:tcW w:w="832" w:type="dxa"/>
            <w:vAlign w:val="center"/>
          </w:tcPr>
          <w:p w14:paraId="346EFA15">
            <w:pPr>
              <w:jc w:val="center"/>
              <w:rPr>
                <w:sz w:val="18"/>
              </w:rPr>
            </w:pPr>
          </w:p>
        </w:tc>
        <w:tc>
          <w:tcPr>
            <w:tcW w:w="832" w:type="dxa"/>
            <w:vAlign w:val="center"/>
          </w:tcPr>
          <w:p w14:paraId="5B33784C">
            <w:pPr>
              <w:jc w:val="center"/>
              <w:rPr>
                <w:sz w:val="18"/>
              </w:rPr>
            </w:pPr>
          </w:p>
        </w:tc>
        <w:tc>
          <w:tcPr>
            <w:tcW w:w="835" w:type="dxa"/>
            <w:vAlign w:val="center"/>
          </w:tcPr>
          <w:p w14:paraId="07F7A48A">
            <w:pPr>
              <w:jc w:val="center"/>
              <w:rPr>
                <w:sz w:val="18"/>
              </w:rPr>
            </w:pPr>
          </w:p>
        </w:tc>
      </w:tr>
    </w:tbl>
    <w:p w14:paraId="2E8FA97B">
      <w:pPr>
        <w:autoSpaceDE w:val="0"/>
        <w:autoSpaceDN w:val="0"/>
        <w:adjustRightInd w:val="0"/>
        <w:rPr>
          <w:rFonts w:eastAsia="黑体"/>
          <w:sz w:val="28"/>
          <w:szCs w:val="28"/>
        </w:rPr>
      </w:pPr>
    </w:p>
    <w:p w14:paraId="04285BE2">
      <w:pPr>
        <w:autoSpaceDE w:val="0"/>
        <w:autoSpaceDN w:val="0"/>
        <w:adjustRightInd w:val="0"/>
        <w:rPr>
          <w:rFonts w:eastAsia="黑体"/>
          <w:sz w:val="28"/>
          <w:szCs w:val="28"/>
        </w:rPr>
      </w:pPr>
    </w:p>
    <w:p w14:paraId="7BA0F05E">
      <w:pPr>
        <w:autoSpaceDE w:val="0"/>
        <w:autoSpaceDN w:val="0"/>
        <w:adjustRightInd w:val="0"/>
        <w:rPr>
          <w:rFonts w:eastAsia="黑体"/>
          <w:sz w:val="28"/>
          <w:szCs w:val="28"/>
        </w:rPr>
      </w:pPr>
      <w:r>
        <w:rPr>
          <w:rFonts w:eastAsia="黑体"/>
          <w:sz w:val="28"/>
          <w:szCs w:val="28"/>
        </w:rPr>
        <w:t>附录 C</w:t>
      </w:r>
    </w:p>
    <w:p w14:paraId="25935336">
      <w:pPr>
        <w:autoSpaceDE w:val="0"/>
        <w:autoSpaceDN w:val="0"/>
        <w:adjustRightInd w:val="0"/>
        <w:jc w:val="center"/>
        <w:rPr>
          <w:rFonts w:eastAsia="黑体"/>
          <w:sz w:val="28"/>
          <w:szCs w:val="28"/>
        </w:rPr>
      </w:pPr>
      <w:r>
        <w:rPr>
          <w:rFonts w:eastAsia="黑体"/>
          <w:sz w:val="28"/>
          <w:szCs w:val="28"/>
        </w:rPr>
        <w:t>校准证书内页格式</w:t>
      </w:r>
    </w:p>
    <w:p w14:paraId="04DD8E0C">
      <w:pPr>
        <w:autoSpaceDE w:val="0"/>
        <w:autoSpaceDN w:val="0"/>
        <w:adjustRightInd w:val="0"/>
        <w:jc w:val="center"/>
        <w:rPr>
          <w:rFonts w:eastAsia="黑体"/>
          <w:sz w:val="28"/>
          <w:szCs w:val="28"/>
        </w:rPr>
      </w:pPr>
    </w:p>
    <w:tbl>
      <w:tblPr>
        <w:tblStyle w:val="30"/>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832"/>
        <w:gridCol w:w="832"/>
        <w:gridCol w:w="832"/>
        <w:gridCol w:w="832"/>
        <w:gridCol w:w="832"/>
        <w:gridCol w:w="832"/>
        <w:gridCol w:w="832"/>
        <w:gridCol w:w="832"/>
        <w:gridCol w:w="835"/>
      </w:tblGrid>
      <w:tr w14:paraId="534E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760" w:type="dxa"/>
            <w:gridSpan w:val="10"/>
            <w:vAlign w:val="center"/>
          </w:tcPr>
          <w:p w14:paraId="668D89F0">
            <w:r>
              <w:t xml:space="preserve">一、通用技术要求：     符合□    不符合□ </w:t>
            </w:r>
          </w:p>
        </w:tc>
      </w:tr>
      <w:tr w14:paraId="645E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760" w:type="dxa"/>
            <w:gridSpan w:val="10"/>
            <w:vAlign w:val="center"/>
          </w:tcPr>
          <w:p w14:paraId="6F5E3BBE">
            <w:pPr>
              <w:rPr>
                <w:sz w:val="18"/>
              </w:rPr>
            </w:pPr>
            <w:r>
              <w:t>二、</w:t>
            </w:r>
            <w:r>
              <w:rPr>
                <w:kern w:val="0"/>
                <w:sz w:val="24"/>
              </w:rPr>
              <w:t>幅值频率响应</w:t>
            </w:r>
          </w:p>
        </w:tc>
      </w:tr>
      <w:tr w14:paraId="7B25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19F2B7B0">
            <w:pPr>
              <w:jc w:val="center"/>
              <w:rPr>
                <w:sz w:val="18"/>
              </w:rPr>
            </w:pPr>
            <w:r>
              <w:rPr>
                <w:sz w:val="18"/>
              </w:rPr>
              <w:t>频率（Hz）</w:t>
            </w:r>
          </w:p>
        </w:tc>
        <w:tc>
          <w:tcPr>
            <w:tcW w:w="832" w:type="dxa"/>
            <w:vAlign w:val="center"/>
          </w:tcPr>
          <w:p w14:paraId="4D4BD462">
            <w:pPr>
              <w:jc w:val="center"/>
              <w:rPr>
                <w:sz w:val="18"/>
              </w:rPr>
            </w:pPr>
          </w:p>
        </w:tc>
        <w:tc>
          <w:tcPr>
            <w:tcW w:w="832" w:type="dxa"/>
            <w:vAlign w:val="center"/>
          </w:tcPr>
          <w:p w14:paraId="55CF9086">
            <w:pPr>
              <w:jc w:val="center"/>
              <w:rPr>
                <w:sz w:val="18"/>
              </w:rPr>
            </w:pPr>
          </w:p>
        </w:tc>
        <w:tc>
          <w:tcPr>
            <w:tcW w:w="832" w:type="dxa"/>
            <w:vAlign w:val="center"/>
          </w:tcPr>
          <w:p w14:paraId="7126046F">
            <w:pPr>
              <w:jc w:val="center"/>
              <w:rPr>
                <w:sz w:val="18"/>
              </w:rPr>
            </w:pPr>
          </w:p>
        </w:tc>
        <w:tc>
          <w:tcPr>
            <w:tcW w:w="832" w:type="dxa"/>
            <w:vAlign w:val="center"/>
          </w:tcPr>
          <w:p w14:paraId="190D916B">
            <w:pPr>
              <w:jc w:val="center"/>
              <w:rPr>
                <w:sz w:val="18"/>
              </w:rPr>
            </w:pPr>
          </w:p>
        </w:tc>
        <w:tc>
          <w:tcPr>
            <w:tcW w:w="832" w:type="dxa"/>
            <w:vAlign w:val="center"/>
          </w:tcPr>
          <w:p w14:paraId="5355D44A">
            <w:pPr>
              <w:jc w:val="center"/>
              <w:rPr>
                <w:sz w:val="18"/>
              </w:rPr>
            </w:pPr>
          </w:p>
        </w:tc>
        <w:tc>
          <w:tcPr>
            <w:tcW w:w="832" w:type="dxa"/>
            <w:vAlign w:val="center"/>
          </w:tcPr>
          <w:p w14:paraId="18143FF3">
            <w:pPr>
              <w:jc w:val="center"/>
              <w:rPr>
                <w:sz w:val="18"/>
              </w:rPr>
            </w:pPr>
          </w:p>
        </w:tc>
        <w:tc>
          <w:tcPr>
            <w:tcW w:w="832" w:type="dxa"/>
            <w:vAlign w:val="center"/>
          </w:tcPr>
          <w:p w14:paraId="4E5677CD">
            <w:pPr>
              <w:jc w:val="center"/>
              <w:rPr>
                <w:sz w:val="18"/>
              </w:rPr>
            </w:pPr>
          </w:p>
        </w:tc>
        <w:tc>
          <w:tcPr>
            <w:tcW w:w="832" w:type="dxa"/>
            <w:vAlign w:val="center"/>
          </w:tcPr>
          <w:p w14:paraId="67985A97">
            <w:pPr>
              <w:jc w:val="center"/>
              <w:rPr>
                <w:sz w:val="18"/>
              </w:rPr>
            </w:pPr>
          </w:p>
        </w:tc>
        <w:tc>
          <w:tcPr>
            <w:tcW w:w="835" w:type="dxa"/>
            <w:vAlign w:val="center"/>
          </w:tcPr>
          <w:p w14:paraId="1A961AC8">
            <w:pPr>
              <w:jc w:val="center"/>
              <w:rPr>
                <w:sz w:val="18"/>
              </w:rPr>
            </w:pPr>
          </w:p>
        </w:tc>
      </w:tr>
      <w:tr w14:paraId="26B0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0BEC7541">
            <w:pPr>
              <w:jc w:val="center"/>
              <w:rPr>
                <w:sz w:val="18"/>
              </w:rPr>
            </w:pPr>
            <w:r>
              <w:rPr>
                <w:sz w:val="18"/>
              </w:rPr>
              <w:t>标准值（  ）</w:t>
            </w:r>
          </w:p>
        </w:tc>
        <w:tc>
          <w:tcPr>
            <w:tcW w:w="832" w:type="dxa"/>
            <w:vAlign w:val="center"/>
          </w:tcPr>
          <w:p w14:paraId="0D299EFF">
            <w:pPr>
              <w:jc w:val="center"/>
              <w:rPr>
                <w:sz w:val="18"/>
              </w:rPr>
            </w:pPr>
          </w:p>
        </w:tc>
        <w:tc>
          <w:tcPr>
            <w:tcW w:w="832" w:type="dxa"/>
            <w:vAlign w:val="center"/>
          </w:tcPr>
          <w:p w14:paraId="020E5AE9">
            <w:pPr>
              <w:jc w:val="center"/>
              <w:rPr>
                <w:sz w:val="18"/>
              </w:rPr>
            </w:pPr>
          </w:p>
        </w:tc>
        <w:tc>
          <w:tcPr>
            <w:tcW w:w="832" w:type="dxa"/>
            <w:vAlign w:val="center"/>
          </w:tcPr>
          <w:p w14:paraId="3A9B1925">
            <w:pPr>
              <w:jc w:val="center"/>
              <w:rPr>
                <w:sz w:val="18"/>
              </w:rPr>
            </w:pPr>
          </w:p>
        </w:tc>
        <w:tc>
          <w:tcPr>
            <w:tcW w:w="832" w:type="dxa"/>
            <w:vAlign w:val="center"/>
          </w:tcPr>
          <w:p w14:paraId="5170990E">
            <w:pPr>
              <w:jc w:val="center"/>
              <w:rPr>
                <w:sz w:val="18"/>
              </w:rPr>
            </w:pPr>
          </w:p>
        </w:tc>
        <w:tc>
          <w:tcPr>
            <w:tcW w:w="832" w:type="dxa"/>
            <w:vAlign w:val="center"/>
          </w:tcPr>
          <w:p w14:paraId="7A8D35E0">
            <w:pPr>
              <w:jc w:val="center"/>
              <w:rPr>
                <w:sz w:val="18"/>
              </w:rPr>
            </w:pPr>
          </w:p>
        </w:tc>
        <w:tc>
          <w:tcPr>
            <w:tcW w:w="832" w:type="dxa"/>
            <w:vAlign w:val="center"/>
          </w:tcPr>
          <w:p w14:paraId="0EF5360F">
            <w:pPr>
              <w:jc w:val="center"/>
              <w:rPr>
                <w:sz w:val="18"/>
              </w:rPr>
            </w:pPr>
          </w:p>
        </w:tc>
        <w:tc>
          <w:tcPr>
            <w:tcW w:w="832" w:type="dxa"/>
            <w:vAlign w:val="center"/>
          </w:tcPr>
          <w:p w14:paraId="79D91F74">
            <w:pPr>
              <w:jc w:val="center"/>
              <w:rPr>
                <w:sz w:val="18"/>
              </w:rPr>
            </w:pPr>
          </w:p>
        </w:tc>
        <w:tc>
          <w:tcPr>
            <w:tcW w:w="832" w:type="dxa"/>
            <w:vAlign w:val="center"/>
          </w:tcPr>
          <w:p w14:paraId="4532D70A">
            <w:pPr>
              <w:jc w:val="center"/>
              <w:rPr>
                <w:sz w:val="18"/>
              </w:rPr>
            </w:pPr>
          </w:p>
        </w:tc>
        <w:tc>
          <w:tcPr>
            <w:tcW w:w="835" w:type="dxa"/>
            <w:vAlign w:val="center"/>
          </w:tcPr>
          <w:p w14:paraId="1ED462BB">
            <w:pPr>
              <w:jc w:val="center"/>
              <w:rPr>
                <w:sz w:val="18"/>
              </w:rPr>
            </w:pPr>
          </w:p>
        </w:tc>
      </w:tr>
      <w:tr w14:paraId="0D69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restart"/>
            <w:vAlign w:val="center"/>
          </w:tcPr>
          <w:p w14:paraId="63DB5E32">
            <w:pPr>
              <w:jc w:val="center"/>
              <w:rPr>
                <w:sz w:val="18"/>
              </w:rPr>
            </w:pPr>
            <w:r>
              <w:rPr>
                <w:sz w:val="18"/>
              </w:rPr>
              <w:t>电梯加速度</w:t>
            </w:r>
          </w:p>
          <w:p w14:paraId="744D5CD8">
            <w:pPr>
              <w:jc w:val="center"/>
              <w:rPr>
                <w:sz w:val="18"/>
              </w:rPr>
            </w:pPr>
            <w:r>
              <w:rPr>
                <w:sz w:val="18"/>
              </w:rPr>
              <w:t>测试仪示值（  ）</w:t>
            </w:r>
          </w:p>
        </w:tc>
        <w:tc>
          <w:tcPr>
            <w:tcW w:w="832" w:type="dxa"/>
            <w:vAlign w:val="center"/>
          </w:tcPr>
          <w:p w14:paraId="6F26EAE1">
            <w:pPr>
              <w:jc w:val="center"/>
              <w:rPr>
                <w:sz w:val="18"/>
              </w:rPr>
            </w:pPr>
          </w:p>
        </w:tc>
        <w:tc>
          <w:tcPr>
            <w:tcW w:w="832" w:type="dxa"/>
            <w:vAlign w:val="center"/>
          </w:tcPr>
          <w:p w14:paraId="1CEA063F">
            <w:pPr>
              <w:jc w:val="center"/>
              <w:rPr>
                <w:sz w:val="18"/>
              </w:rPr>
            </w:pPr>
          </w:p>
        </w:tc>
        <w:tc>
          <w:tcPr>
            <w:tcW w:w="832" w:type="dxa"/>
            <w:vAlign w:val="center"/>
          </w:tcPr>
          <w:p w14:paraId="59E6B63E">
            <w:pPr>
              <w:jc w:val="center"/>
              <w:rPr>
                <w:sz w:val="18"/>
              </w:rPr>
            </w:pPr>
          </w:p>
        </w:tc>
        <w:tc>
          <w:tcPr>
            <w:tcW w:w="832" w:type="dxa"/>
            <w:vAlign w:val="center"/>
          </w:tcPr>
          <w:p w14:paraId="50CB074C">
            <w:pPr>
              <w:jc w:val="center"/>
              <w:rPr>
                <w:sz w:val="18"/>
              </w:rPr>
            </w:pPr>
          </w:p>
        </w:tc>
        <w:tc>
          <w:tcPr>
            <w:tcW w:w="832" w:type="dxa"/>
            <w:vAlign w:val="center"/>
          </w:tcPr>
          <w:p w14:paraId="0ED2E56A">
            <w:pPr>
              <w:jc w:val="center"/>
              <w:rPr>
                <w:sz w:val="18"/>
              </w:rPr>
            </w:pPr>
          </w:p>
        </w:tc>
        <w:tc>
          <w:tcPr>
            <w:tcW w:w="832" w:type="dxa"/>
            <w:vAlign w:val="center"/>
          </w:tcPr>
          <w:p w14:paraId="7845D689">
            <w:pPr>
              <w:jc w:val="center"/>
              <w:rPr>
                <w:sz w:val="18"/>
              </w:rPr>
            </w:pPr>
          </w:p>
        </w:tc>
        <w:tc>
          <w:tcPr>
            <w:tcW w:w="832" w:type="dxa"/>
            <w:vAlign w:val="center"/>
          </w:tcPr>
          <w:p w14:paraId="5398E585">
            <w:pPr>
              <w:jc w:val="center"/>
              <w:rPr>
                <w:sz w:val="18"/>
              </w:rPr>
            </w:pPr>
          </w:p>
        </w:tc>
        <w:tc>
          <w:tcPr>
            <w:tcW w:w="832" w:type="dxa"/>
            <w:vAlign w:val="center"/>
          </w:tcPr>
          <w:p w14:paraId="08644F39">
            <w:pPr>
              <w:jc w:val="center"/>
              <w:rPr>
                <w:sz w:val="18"/>
              </w:rPr>
            </w:pPr>
          </w:p>
        </w:tc>
        <w:tc>
          <w:tcPr>
            <w:tcW w:w="835" w:type="dxa"/>
            <w:vAlign w:val="center"/>
          </w:tcPr>
          <w:p w14:paraId="2ECE148A">
            <w:pPr>
              <w:jc w:val="center"/>
              <w:rPr>
                <w:sz w:val="18"/>
              </w:rPr>
            </w:pPr>
          </w:p>
        </w:tc>
      </w:tr>
      <w:tr w14:paraId="5AF7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4E5DA649">
            <w:pPr>
              <w:jc w:val="center"/>
              <w:rPr>
                <w:sz w:val="18"/>
              </w:rPr>
            </w:pPr>
          </w:p>
        </w:tc>
        <w:tc>
          <w:tcPr>
            <w:tcW w:w="832" w:type="dxa"/>
            <w:vAlign w:val="center"/>
          </w:tcPr>
          <w:p w14:paraId="0A2361C9">
            <w:pPr>
              <w:jc w:val="center"/>
              <w:rPr>
                <w:sz w:val="18"/>
              </w:rPr>
            </w:pPr>
          </w:p>
        </w:tc>
        <w:tc>
          <w:tcPr>
            <w:tcW w:w="832" w:type="dxa"/>
            <w:vAlign w:val="center"/>
          </w:tcPr>
          <w:p w14:paraId="1845CF60">
            <w:pPr>
              <w:jc w:val="center"/>
              <w:rPr>
                <w:sz w:val="18"/>
              </w:rPr>
            </w:pPr>
          </w:p>
        </w:tc>
        <w:tc>
          <w:tcPr>
            <w:tcW w:w="832" w:type="dxa"/>
            <w:vAlign w:val="center"/>
          </w:tcPr>
          <w:p w14:paraId="0957A8EF">
            <w:pPr>
              <w:jc w:val="center"/>
              <w:rPr>
                <w:sz w:val="18"/>
              </w:rPr>
            </w:pPr>
          </w:p>
        </w:tc>
        <w:tc>
          <w:tcPr>
            <w:tcW w:w="832" w:type="dxa"/>
            <w:vAlign w:val="center"/>
          </w:tcPr>
          <w:p w14:paraId="491F32EF">
            <w:pPr>
              <w:jc w:val="center"/>
              <w:rPr>
                <w:sz w:val="18"/>
              </w:rPr>
            </w:pPr>
          </w:p>
        </w:tc>
        <w:tc>
          <w:tcPr>
            <w:tcW w:w="832" w:type="dxa"/>
            <w:vAlign w:val="center"/>
          </w:tcPr>
          <w:p w14:paraId="103932DC">
            <w:pPr>
              <w:jc w:val="center"/>
              <w:rPr>
                <w:sz w:val="18"/>
              </w:rPr>
            </w:pPr>
          </w:p>
        </w:tc>
        <w:tc>
          <w:tcPr>
            <w:tcW w:w="832" w:type="dxa"/>
            <w:vAlign w:val="center"/>
          </w:tcPr>
          <w:p w14:paraId="7083CF18">
            <w:pPr>
              <w:jc w:val="center"/>
              <w:rPr>
                <w:sz w:val="18"/>
              </w:rPr>
            </w:pPr>
          </w:p>
        </w:tc>
        <w:tc>
          <w:tcPr>
            <w:tcW w:w="832" w:type="dxa"/>
            <w:vAlign w:val="center"/>
          </w:tcPr>
          <w:p w14:paraId="28E0AF83">
            <w:pPr>
              <w:jc w:val="center"/>
              <w:rPr>
                <w:sz w:val="18"/>
              </w:rPr>
            </w:pPr>
          </w:p>
        </w:tc>
        <w:tc>
          <w:tcPr>
            <w:tcW w:w="832" w:type="dxa"/>
            <w:vAlign w:val="center"/>
          </w:tcPr>
          <w:p w14:paraId="275D853E">
            <w:pPr>
              <w:jc w:val="center"/>
              <w:rPr>
                <w:sz w:val="18"/>
              </w:rPr>
            </w:pPr>
          </w:p>
        </w:tc>
        <w:tc>
          <w:tcPr>
            <w:tcW w:w="835" w:type="dxa"/>
            <w:vAlign w:val="center"/>
          </w:tcPr>
          <w:p w14:paraId="76ABE863">
            <w:pPr>
              <w:jc w:val="center"/>
              <w:rPr>
                <w:sz w:val="18"/>
              </w:rPr>
            </w:pPr>
          </w:p>
        </w:tc>
      </w:tr>
      <w:tr w14:paraId="0152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01101586">
            <w:pPr>
              <w:jc w:val="center"/>
              <w:rPr>
                <w:sz w:val="18"/>
              </w:rPr>
            </w:pPr>
          </w:p>
        </w:tc>
        <w:tc>
          <w:tcPr>
            <w:tcW w:w="832" w:type="dxa"/>
            <w:vAlign w:val="center"/>
          </w:tcPr>
          <w:p w14:paraId="7CFD77BA">
            <w:pPr>
              <w:jc w:val="center"/>
              <w:rPr>
                <w:sz w:val="18"/>
              </w:rPr>
            </w:pPr>
          </w:p>
        </w:tc>
        <w:tc>
          <w:tcPr>
            <w:tcW w:w="832" w:type="dxa"/>
            <w:vAlign w:val="center"/>
          </w:tcPr>
          <w:p w14:paraId="1E124F80">
            <w:pPr>
              <w:jc w:val="center"/>
              <w:rPr>
                <w:sz w:val="18"/>
              </w:rPr>
            </w:pPr>
          </w:p>
        </w:tc>
        <w:tc>
          <w:tcPr>
            <w:tcW w:w="832" w:type="dxa"/>
            <w:vAlign w:val="center"/>
          </w:tcPr>
          <w:p w14:paraId="425DA17F">
            <w:pPr>
              <w:jc w:val="center"/>
              <w:rPr>
                <w:sz w:val="18"/>
              </w:rPr>
            </w:pPr>
          </w:p>
        </w:tc>
        <w:tc>
          <w:tcPr>
            <w:tcW w:w="832" w:type="dxa"/>
            <w:vAlign w:val="center"/>
          </w:tcPr>
          <w:p w14:paraId="654441CE">
            <w:pPr>
              <w:jc w:val="center"/>
              <w:rPr>
                <w:sz w:val="18"/>
              </w:rPr>
            </w:pPr>
          </w:p>
        </w:tc>
        <w:tc>
          <w:tcPr>
            <w:tcW w:w="832" w:type="dxa"/>
            <w:vAlign w:val="center"/>
          </w:tcPr>
          <w:p w14:paraId="6524FD98">
            <w:pPr>
              <w:jc w:val="center"/>
              <w:rPr>
                <w:sz w:val="18"/>
              </w:rPr>
            </w:pPr>
          </w:p>
        </w:tc>
        <w:tc>
          <w:tcPr>
            <w:tcW w:w="832" w:type="dxa"/>
            <w:vAlign w:val="center"/>
          </w:tcPr>
          <w:p w14:paraId="19059390">
            <w:pPr>
              <w:jc w:val="center"/>
              <w:rPr>
                <w:sz w:val="18"/>
              </w:rPr>
            </w:pPr>
          </w:p>
        </w:tc>
        <w:tc>
          <w:tcPr>
            <w:tcW w:w="832" w:type="dxa"/>
            <w:vAlign w:val="center"/>
          </w:tcPr>
          <w:p w14:paraId="51B1CF35">
            <w:pPr>
              <w:jc w:val="center"/>
              <w:rPr>
                <w:sz w:val="18"/>
              </w:rPr>
            </w:pPr>
          </w:p>
        </w:tc>
        <w:tc>
          <w:tcPr>
            <w:tcW w:w="832" w:type="dxa"/>
            <w:vAlign w:val="center"/>
          </w:tcPr>
          <w:p w14:paraId="7296DECD">
            <w:pPr>
              <w:jc w:val="center"/>
              <w:rPr>
                <w:sz w:val="18"/>
              </w:rPr>
            </w:pPr>
          </w:p>
        </w:tc>
        <w:tc>
          <w:tcPr>
            <w:tcW w:w="835" w:type="dxa"/>
            <w:vAlign w:val="center"/>
          </w:tcPr>
          <w:p w14:paraId="76105B3F">
            <w:pPr>
              <w:jc w:val="center"/>
              <w:rPr>
                <w:sz w:val="18"/>
              </w:rPr>
            </w:pPr>
          </w:p>
        </w:tc>
      </w:tr>
      <w:tr w14:paraId="76BF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346CBEAD">
            <w:pPr>
              <w:jc w:val="center"/>
              <w:rPr>
                <w:i/>
                <w:sz w:val="18"/>
              </w:rPr>
            </w:pPr>
            <w:r>
              <w:rPr>
                <w:iCs/>
                <w:sz w:val="18"/>
              </w:rPr>
              <w:t>相对误差(%)</w:t>
            </w:r>
          </w:p>
        </w:tc>
        <w:tc>
          <w:tcPr>
            <w:tcW w:w="832" w:type="dxa"/>
            <w:vAlign w:val="center"/>
          </w:tcPr>
          <w:p w14:paraId="4C4B0BD0">
            <w:pPr>
              <w:jc w:val="center"/>
              <w:rPr>
                <w:sz w:val="18"/>
              </w:rPr>
            </w:pPr>
          </w:p>
        </w:tc>
        <w:tc>
          <w:tcPr>
            <w:tcW w:w="832" w:type="dxa"/>
            <w:vAlign w:val="center"/>
          </w:tcPr>
          <w:p w14:paraId="63C9FD0B">
            <w:pPr>
              <w:jc w:val="center"/>
              <w:rPr>
                <w:sz w:val="18"/>
              </w:rPr>
            </w:pPr>
          </w:p>
        </w:tc>
        <w:tc>
          <w:tcPr>
            <w:tcW w:w="832" w:type="dxa"/>
            <w:vAlign w:val="center"/>
          </w:tcPr>
          <w:p w14:paraId="24C5457D">
            <w:pPr>
              <w:jc w:val="center"/>
              <w:rPr>
                <w:sz w:val="18"/>
              </w:rPr>
            </w:pPr>
          </w:p>
        </w:tc>
        <w:tc>
          <w:tcPr>
            <w:tcW w:w="832" w:type="dxa"/>
            <w:vAlign w:val="center"/>
          </w:tcPr>
          <w:p w14:paraId="1D09E812">
            <w:pPr>
              <w:jc w:val="center"/>
              <w:rPr>
                <w:sz w:val="18"/>
              </w:rPr>
            </w:pPr>
          </w:p>
        </w:tc>
        <w:tc>
          <w:tcPr>
            <w:tcW w:w="832" w:type="dxa"/>
            <w:vAlign w:val="center"/>
          </w:tcPr>
          <w:p w14:paraId="740DD50A">
            <w:pPr>
              <w:jc w:val="center"/>
              <w:rPr>
                <w:sz w:val="18"/>
              </w:rPr>
            </w:pPr>
          </w:p>
        </w:tc>
        <w:tc>
          <w:tcPr>
            <w:tcW w:w="832" w:type="dxa"/>
            <w:vAlign w:val="center"/>
          </w:tcPr>
          <w:p w14:paraId="42DEAF64">
            <w:pPr>
              <w:jc w:val="center"/>
              <w:rPr>
                <w:sz w:val="18"/>
              </w:rPr>
            </w:pPr>
          </w:p>
        </w:tc>
        <w:tc>
          <w:tcPr>
            <w:tcW w:w="832" w:type="dxa"/>
            <w:vAlign w:val="center"/>
          </w:tcPr>
          <w:p w14:paraId="3506A9FB">
            <w:pPr>
              <w:jc w:val="center"/>
              <w:rPr>
                <w:sz w:val="18"/>
              </w:rPr>
            </w:pPr>
          </w:p>
        </w:tc>
        <w:tc>
          <w:tcPr>
            <w:tcW w:w="832" w:type="dxa"/>
            <w:vAlign w:val="center"/>
          </w:tcPr>
          <w:p w14:paraId="1C204C6D">
            <w:pPr>
              <w:jc w:val="center"/>
              <w:rPr>
                <w:sz w:val="18"/>
              </w:rPr>
            </w:pPr>
          </w:p>
        </w:tc>
        <w:tc>
          <w:tcPr>
            <w:tcW w:w="835" w:type="dxa"/>
            <w:vAlign w:val="center"/>
          </w:tcPr>
          <w:p w14:paraId="61997296">
            <w:pPr>
              <w:jc w:val="center"/>
              <w:rPr>
                <w:sz w:val="18"/>
              </w:rPr>
            </w:pPr>
          </w:p>
        </w:tc>
      </w:tr>
      <w:tr w14:paraId="701A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3C22D4C8">
            <w:pPr>
              <w:jc w:val="center"/>
              <w:rPr>
                <w:sz w:val="18"/>
              </w:rPr>
            </w:pPr>
            <w:r>
              <w:rPr>
                <w:i/>
                <w:sz w:val="18"/>
              </w:rPr>
              <w:t>U</w:t>
            </w:r>
            <w:r>
              <w:rPr>
                <w:sz w:val="18"/>
                <w:vertAlign w:val="subscript"/>
              </w:rPr>
              <w:t>rel</w:t>
            </w:r>
            <w:r>
              <w:rPr>
                <w:sz w:val="18"/>
              </w:rPr>
              <w:t>（</w:t>
            </w:r>
            <w:r>
              <w:rPr>
                <w:i/>
                <w:sz w:val="18"/>
              </w:rPr>
              <w:t>k</w:t>
            </w:r>
            <w:r>
              <w:rPr>
                <w:sz w:val="18"/>
              </w:rPr>
              <w:t>=2）</w:t>
            </w:r>
          </w:p>
        </w:tc>
        <w:tc>
          <w:tcPr>
            <w:tcW w:w="832" w:type="dxa"/>
            <w:vAlign w:val="center"/>
          </w:tcPr>
          <w:p w14:paraId="71C65C2A">
            <w:pPr>
              <w:jc w:val="center"/>
              <w:rPr>
                <w:sz w:val="18"/>
              </w:rPr>
            </w:pPr>
          </w:p>
        </w:tc>
        <w:tc>
          <w:tcPr>
            <w:tcW w:w="832" w:type="dxa"/>
            <w:vAlign w:val="center"/>
          </w:tcPr>
          <w:p w14:paraId="5CC50B31">
            <w:pPr>
              <w:jc w:val="center"/>
              <w:rPr>
                <w:sz w:val="18"/>
              </w:rPr>
            </w:pPr>
          </w:p>
        </w:tc>
        <w:tc>
          <w:tcPr>
            <w:tcW w:w="832" w:type="dxa"/>
            <w:vAlign w:val="center"/>
          </w:tcPr>
          <w:p w14:paraId="62050A5D">
            <w:pPr>
              <w:jc w:val="center"/>
              <w:rPr>
                <w:sz w:val="18"/>
              </w:rPr>
            </w:pPr>
          </w:p>
        </w:tc>
        <w:tc>
          <w:tcPr>
            <w:tcW w:w="832" w:type="dxa"/>
            <w:vAlign w:val="center"/>
          </w:tcPr>
          <w:p w14:paraId="17D3ED27">
            <w:pPr>
              <w:jc w:val="center"/>
              <w:rPr>
                <w:sz w:val="18"/>
              </w:rPr>
            </w:pPr>
          </w:p>
        </w:tc>
        <w:tc>
          <w:tcPr>
            <w:tcW w:w="832" w:type="dxa"/>
            <w:vAlign w:val="center"/>
          </w:tcPr>
          <w:p w14:paraId="136DC0E2">
            <w:pPr>
              <w:jc w:val="center"/>
              <w:rPr>
                <w:sz w:val="18"/>
              </w:rPr>
            </w:pPr>
          </w:p>
        </w:tc>
        <w:tc>
          <w:tcPr>
            <w:tcW w:w="832" w:type="dxa"/>
            <w:vAlign w:val="center"/>
          </w:tcPr>
          <w:p w14:paraId="40817820">
            <w:pPr>
              <w:jc w:val="center"/>
              <w:rPr>
                <w:sz w:val="18"/>
              </w:rPr>
            </w:pPr>
          </w:p>
        </w:tc>
        <w:tc>
          <w:tcPr>
            <w:tcW w:w="832" w:type="dxa"/>
            <w:vAlign w:val="center"/>
          </w:tcPr>
          <w:p w14:paraId="31025A6A">
            <w:pPr>
              <w:jc w:val="center"/>
              <w:rPr>
                <w:sz w:val="18"/>
              </w:rPr>
            </w:pPr>
          </w:p>
        </w:tc>
        <w:tc>
          <w:tcPr>
            <w:tcW w:w="832" w:type="dxa"/>
            <w:vAlign w:val="center"/>
          </w:tcPr>
          <w:p w14:paraId="462E30B4">
            <w:pPr>
              <w:jc w:val="center"/>
              <w:rPr>
                <w:sz w:val="18"/>
              </w:rPr>
            </w:pPr>
          </w:p>
        </w:tc>
        <w:tc>
          <w:tcPr>
            <w:tcW w:w="835" w:type="dxa"/>
            <w:vAlign w:val="center"/>
          </w:tcPr>
          <w:p w14:paraId="3C34E358">
            <w:pPr>
              <w:jc w:val="center"/>
              <w:rPr>
                <w:sz w:val="18"/>
              </w:rPr>
            </w:pPr>
          </w:p>
        </w:tc>
      </w:tr>
      <w:tr w14:paraId="0614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9760" w:type="dxa"/>
            <w:gridSpan w:val="10"/>
            <w:vAlign w:val="center"/>
          </w:tcPr>
          <w:p w14:paraId="13D24F4E">
            <w:pPr>
              <w:rPr>
                <w:sz w:val="18"/>
              </w:rPr>
            </w:pPr>
            <w:r>
              <w:rPr>
                <w:kern w:val="0"/>
                <w:sz w:val="24"/>
              </w:rPr>
              <w:t>三、幅值线性度</w:t>
            </w:r>
          </w:p>
        </w:tc>
      </w:tr>
      <w:tr w14:paraId="074A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6E0B1129">
            <w:pPr>
              <w:jc w:val="center"/>
              <w:rPr>
                <w:sz w:val="18"/>
              </w:rPr>
            </w:pPr>
            <w:r>
              <w:rPr>
                <w:sz w:val="18"/>
              </w:rPr>
              <w:t>频率（Hz）</w:t>
            </w:r>
          </w:p>
        </w:tc>
        <w:tc>
          <w:tcPr>
            <w:tcW w:w="832" w:type="dxa"/>
            <w:vAlign w:val="center"/>
          </w:tcPr>
          <w:p w14:paraId="4FAC1EBD">
            <w:pPr>
              <w:jc w:val="center"/>
              <w:rPr>
                <w:sz w:val="18"/>
              </w:rPr>
            </w:pPr>
          </w:p>
        </w:tc>
        <w:tc>
          <w:tcPr>
            <w:tcW w:w="832" w:type="dxa"/>
            <w:vAlign w:val="center"/>
          </w:tcPr>
          <w:p w14:paraId="59FC98D8">
            <w:pPr>
              <w:jc w:val="center"/>
              <w:rPr>
                <w:sz w:val="18"/>
              </w:rPr>
            </w:pPr>
          </w:p>
        </w:tc>
        <w:tc>
          <w:tcPr>
            <w:tcW w:w="832" w:type="dxa"/>
            <w:vAlign w:val="center"/>
          </w:tcPr>
          <w:p w14:paraId="2599AB84">
            <w:pPr>
              <w:jc w:val="center"/>
              <w:rPr>
                <w:sz w:val="18"/>
              </w:rPr>
            </w:pPr>
          </w:p>
        </w:tc>
        <w:tc>
          <w:tcPr>
            <w:tcW w:w="832" w:type="dxa"/>
            <w:vAlign w:val="center"/>
          </w:tcPr>
          <w:p w14:paraId="0B5102AB">
            <w:pPr>
              <w:jc w:val="center"/>
              <w:rPr>
                <w:sz w:val="18"/>
              </w:rPr>
            </w:pPr>
          </w:p>
        </w:tc>
        <w:tc>
          <w:tcPr>
            <w:tcW w:w="832" w:type="dxa"/>
            <w:vAlign w:val="center"/>
          </w:tcPr>
          <w:p w14:paraId="586E1772">
            <w:pPr>
              <w:jc w:val="center"/>
              <w:rPr>
                <w:sz w:val="18"/>
              </w:rPr>
            </w:pPr>
          </w:p>
        </w:tc>
        <w:tc>
          <w:tcPr>
            <w:tcW w:w="832" w:type="dxa"/>
            <w:vAlign w:val="center"/>
          </w:tcPr>
          <w:p w14:paraId="2BCC8051">
            <w:pPr>
              <w:jc w:val="center"/>
              <w:rPr>
                <w:sz w:val="18"/>
              </w:rPr>
            </w:pPr>
          </w:p>
        </w:tc>
        <w:tc>
          <w:tcPr>
            <w:tcW w:w="832" w:type="dxa"/>
            <w:vAlign w:val="center"/>
          </w:tcPr>
          <w:p w14:paraId="35AD789C">
            <w:pPr>
              <w:jc w:val="center"/>
              <w:rPr>
                <w:sz w:val="18"/>
              </w:rPr>
            </w:pPr>
          </w:p>
        </w:tc>
        <w:tc>
          <w:tcPr>
            <w:tcW w:w="832" w:type="dxa"/>
            <w:vAlign w:val="center"/>
          </w:tcPr>
          <w:p w14:paraId="39D64D8C">
            <w:pPr>
              <w:jc w:val="center"/>
              <w:rPr>
                <w:sz w:val="18"/>
              </w:rPr>
            </w:pPr>
          </w:p>
        </w:tc>
        <w:tc>
          <w:tcPr>
            <w:tcW w:w="835" w:type="dxa"/>
            <w:vAlign w:val="center"/>
          </w:tcPr>
          <w:p w14:paraId="28809CBC">
            <w:pPr>
              <w:jc w:val="center"/>
              <w:rPr>
                <w:sz w:val="18"/>
              </w:rPr>
            </w:pPr>
          </w:p>
        </w:tc>
      </w:tr>
      <w:tr w14:paraId="45892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038C2903">
            <w:pPr>
              <w:jc w:val="center"/>
              <w:rPr>
                <w:sz w:val="18"/>
              </w:rPr>
            </w:pPr>
            <w:r>
              <w:rPr>
                <w:sz w:val="18"/>
              </w:rPr>
              <w:t>标准值（  ）</w:t>
            </w:r>
          </w:p>
        </w:tc>
        <w:tc>
          <w:tcPr>
            <w:tcW w:w="832" w:type="dxa"/>
            <w:vAlign w:val="center"/>
          </w:tcPr>
          <w:p w14:paraId="22779646">
            <w:pPr>
              <w:jc w:val="center"/>
              <w:rPr>
                <w:sz w:val="18"/>
              </w:rPr>
            </w:pPr>
          </w:p>
        </w:tc>
        <w:tc>
          <w:tcPr>
            <w:tcW w:w="832" w:type="dxa"/>
            <w:vAlign w:val="center"/>
          </w:tcPr>
          <w:p w14:paraId="0A504EF4">
            <w:pPr>
              <w:jc w:val="center"/>
              <w:rPr>
                <w:sz w:val="18"/>
              </w:rPr>
            </w:pPr>
          </w:p>
        </w:tc>
        <w:tc>
          <w:tcPr>
            <w:tcW w:w="832" w:type="dxa"/>
            <w:vAlign w:val="center"/>
          </w:tcPr>
          <w:p w14:paraId="0FC3909C">
            <w:pPr>
              <w:jc w:val="center"/>
              <w:rPr>
                <w:sz w:val="18"/>
              </w:rPr>
            </w:pPr>
          </w:p>
        </w:tc>
        <w:tc>
          <w:tcPr>
            <w:tcW w:w="832" w:type="dxa"/>
            <w:vAlign w:val="center"/>
          </w:tcPr>
          <w:p w14:paraId="22518067">
            <w:pPr>
              <w:jc w:val="center"/>
              <w:rPr>
                <w:sz w:val="18"/>
              </w:rPr>
            </w:pPr>
          </w:p>
        </w:tc>
        <w:tc>
          <w:tcPr>
            <w:tcW w:w="832" w:type="dxa"/>
            <w:vAlign w:val="center"/>
          </w:tcPr>
          <w:p w14:paraId="7063F782">
            <w:pPr>
              <w:jc w:val="center"/>
              <w:rPr>
                <w:sz w:val="18"/>
              </w:rPr>
            </w:pPr>
          </w:p>
        </w:tc>
        <w:tc>
          <w:tcPr>
            <w:tcW w:w="832" w:type="dxa"/>
            <w:vAlign w:val="center"/>
          </w:tcPr>
          <w:p w14:paraId="1EA89287">
            <w:pPr>
              <w:jc w:val="center"/>
              <w:rPr>
                <w:sz w:val="18"/>
              </w:rPr>
            </w:pPr>
          </w:p>
        </w:tc>
        <w:tc>
          <w:tcPr>
            <w:tcW w:w="832" w:type="dxa"/>
            <w:vAlign w:val="center"/>
          </w:tcPr>
          <w:p w14:paraId="32118B9B">
            <w:pPr>
              <w:jc w:val="center"/>
              <w:rPr>
                <w:sz w:val="18"/>
              </w:rPr>
            </w:pPr>
          </w:p>
        </w:tc>
        <w:tc>
          <w:tcPr>
            <w:tcW w:w="832" w:type="dxa"/>
            <w:vAlign w:val="center"/>
          </w:tcPr>
          <w:p w14:paraId="4808E6CE">
            <w:pPr>
              <w:jc w:val="center"/>
              <w:rPr>
                <w:sz w:val="18"/>
              </w:rPr>
            </w:pPr>
          </w:p>
        </w:tc>
        <w:tc>
          <w:tcPr>
            <w:tcW w:w="835" w:type="dxa"/>
            <w:vAlign w:val="center"/>
          </w:tcPr>
          <w:p w14:paraId="6A9A07A0">
            <w:pPr>
              <w:jc w:val="center"/>
              <w:rPr>
                <w:sz w:val="18"/>
              </w:rPr>
            </w:pPr>
          </w:p>
        </w:tc>
      </w:tr>
      <w:tr w14:paraId="15D0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restart"/>
            <w:vAlign w:val="center"/>
          </w:tcPr>
          <w:p w14:paraId="240A86E6">
            <w:pPr>
              <w:jc w:val="center"/>
              <w:rPr>
                <w:sz w:val="18"/>
              </w:rPr>
            </w:pPr>
            <w:r>
              <w:rPr>
                <w:sz w:val="18"/>
              </w:rPr>
              <w:t>电梯加速度</w:t>
            </w:r>
          </w:p>
          <w:p w14:paraId="1FCB8954">
            <w:pPr>
              <w:jc w:val="center"/>
              <w:rPr>
                <w:sz w:val="18"/>
              </w:rPr>
            </w:pPr>
            <w:r>
              <w:rPr>
                <w:sz w:val="18"/>
              </w:rPr>
              <w:t>测试仪示值（  ）</w:t>
            </w:r>
          </w:p>
        </w:tc>
        <w:tc>
          <w:tcPr>
            <w:tcW w:w="832" w:type="dxa"/>
            <w:vAlign w:val="center"/>
          </w:tcPr>
          <w:p w14:paraId="298E9DF5">
            <w:pPr>
              <w:jc w:val="center"/>
              <w:rPr>
                <w:sz w:val="18"/>
              </w:rPr>
            </w:pPr>
          </w:p>
        </w:tc>
        <w:tc>
          <w:tcPr>
            <w:tcW w:w="832" w:type="dxa"/>
            <w:vAlign w:val="center"/>
          </w:tcPr>
          <w:p w14:paraId="3D34C043">
            <w:pPr>
              <w:jc w:val="center"/>
              <w:rPr>
                <w:sz w:val="18"/>
              </w:rPr>
            </w:pPr>
          </w:p>
        </w:tc>
        <w:tc>
          <w:tcPr>
            <w:tcW w:w="832" w:type="dxa"/>
            <w:vAlign w:val="center"/>
          </w:tcPr>
          <w:p w14:paraId="11248A5C">
            <w:pPr>
              <w:jc w:val="center"/>
              <w:rPr>
                <w:sz w:val="18"/>
              </w:rPr>
            </w:pPr>
          </w:p>
        </w:tc>
        <w:tc>
          <w:tcPr>
            <w:tcW w:w="832" w:type="dxa"/>
            <w:vAlign w:val="center"/>
          </w:tcPr>
          <w:p w14:paraId="518D927C">
            <w:pPr>
              <w:jc w:val="center"/>
              <w:rPr>
                <w:sz w:val="18"/>
              </w:rPr>
            </w:pPr>
          </w:p>
        </w:tc>
        <w:tc>
          <w:tcPr>
            <w:tcW w:w="832" w:type="dxa"/>
            <w:vAlign w:val="center"/>
          </w:tcPr>
          <w:p w14:paraId="628DE3ED">
            <w:pPr>
              <w:jc w:val="center"/>
              <w:rPr>
                <w:sz w:val="18"/>
              </w:rPr>
            </w:pPr>
          </w:p>
        </w:tc>
        <w:tc>
          <w:tcPr>
            <w:tcW w:w="832" w:type="dxa"/>
            <w:vAlign w:val="center"/>
          </w:tcPr>
          <w:p w14:paraId="1BECBB6D">
            <w:pPr>
              <w:jc w:val="center"/>
              <w:rPr>
                <w:sz w:val="18"/>
              </w:rPr>
            </w:pPr>
          </w:p>
        </w:tc>
        <w:tc>
          <w:tcPr>
            <w:tcW w:w="832" w:type="dxa"/>
            <w:vAlign w:val="center"/>
          </w:tcPr>
          <w:p w14:paraId="38CBA9EA">
            <w:pPr>
              <w:jc w:val="center"/>
              <w:rPr>
                <w:sz w:val="18"/>
              </w:rPr>
            </w:pPr>
          </w:p>
        </w:tc>
        <w:tc>
          <w:tcPr>
            <w:tcW w:w="832" w:type="dxa"/>
            <w:vAlign w:val="center"/>
          </w:tcPr>
          <w:p w14:paraId="4BEC9ADF">
            <w:pPr>
              <w:jc w:val="center"/>
              <w:rPr>
                <w:sz w:val="18"/>
              </w:rPr>
            </w:pPr>
          </w:p>
        </w:tc>
        <w:tc>
          <w:tcPr>
            <w:tcW w:w="835" w:type="dxa"/>
            <w:vAlign w:val="center"/>
          </w:tcPr>
          <w:p w14:paraId="4EA9B390">
            <w:pPr>
              <w:jc w:val="center"/>
              <w:rPr>
                <w:sz w:val="18"/>
              </w:rPr>
            </w:pPr>
          </w:p>
        </w:tc>
      </w:tr>
      <w:tr w14:paraId="2A87E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4085F4B9">
            <w:pPr>
              <w:jc w:val="center"/>
              <w:rPr>
                <w:sz w:val="18"/>
              </w:rPr>
            </w:pPr>
          </w:p>
        </w:tc>
        <w:tc>
          <w:tcPr>
            <w:tcW w:w="832" w:type="dxa"/>
            <w:vAlign w:val="center"/>
          </w:tcPr>
          <w:p w14:paraId="288FD476">
            <w:pPr>
              <w:jc w:val="center"/>
              <w:rPr>
                <w:sz w:val="18"/>
              </w:rPr>
            </w:pPr>
          </w:p>
        </w:tc>
        <w:tc>
          <w:tcPr>
            <w:tcW w:w="832" w:type="dxa"/>
            <w:vAlign w:val="center"/>
          </w:tcPr>
          <w:p w14:paraId="61293053">
            <w:pPr>
              <w:jc w:val="center"/>
              <w:rPr>
                <w:sz w:val="18"/>
              </w:rPr>
            </w:pPr>
          </w:p>
        </w:tc>
        <w:tc>
          <w:tcPr>
            <w:tcW w:w="832" w:type="dxa"/>
            <w:vAlign w:val="center"/>
          </w:tcPr>
          <w:p w14:paraId="450A2878">
            <w:pPr>
              <w:jc w:val="center"/>
              <w:rPr>
                <w:sz w:val="18"/>
              </w:rPr>
            </w:pPr>
          </w:p>
        </w:tc>
        <w:tc>
          <w:tcPr>
            <w:tcW w:w="832" w:type="dxa"/>
            <w:vAlign w:val="center"/>
          </w:tcPr>
          <w:p w14:paraId="4E53284A">
            <w:pPr>
              <w:jc w:val="center"/>
              <w:rPr>
                <w:sz w:val="18"/>
              </w:rPr>
            </w:pPr>
          </w:p>
        </w:tc>
        <w:tc>
          <w:tcPr>
            <w:tcW w:w="832" w:type="dxa"/>
            <w:vAlign w:val="center"/>
          </w:tcPr>
          <w:p w14:paraId="651A0095">
            <w:pPr>
              <w:jc w:val="center"/>
              <w:rPr>
                <w:sz w:val="18"/>
              </w:rPr>
            </w:pPr>
          </w:p>
        </w:tc>
        <w:tc>
          <w:tcPr>
            <w:tcW w:w="832" w:type="dxa"/>
            <w:vAlign w:val="center"/>
          </w:tcPr>
          <w:p w14:paraId="53BB6BC1">
            <w:pPr>
              <w:jc w:val="center"/>
              <w:rPr>
                <w:sz w:val="18"/>
              </w:rPr>
            </w:pPr>
          </w:p>
        </w:tc>
        <w:tc>
          <w:tcPr>
            <w:tcW w:w="832" w:type="dxa"/>
            <w:vAlign w:val="center"/>
          </w:tcPr>
          <w:p w14:paraId="08C6F7C5">
            <w:pPr>
              <w:jc w:val="center"/>
              <w:rPr>
                <w:sz w:val="18"/>
              </w:rPr>
            </w:pPr>
          </w:p>
        </w:tc>
        <w:tc>
          <w:tcPr>
            <w:tcW w:w="832" w:type="dxa"/>
            <w:vAlign w:val="center"/>
          </w:tcPr>
          <w:p w14:paraId="71482307">
            <w:pPr>
              <w:jc w:val="center"/>
              <w:rPr>
                <w:sz w:val="18"/>
              </w:rPr>
            </w:pPr>
          </w:p>
        </w:tc>
        <w:tc>
          <w:tcPr>
            <w:tcW w:w="835" w:type="dxa"/>
            <w:vAlign w:val="center"/>
          </w:tcPr>
          <w:p w14:paraId="5BFEB088">
            <w:pPr>
              <w:jc w:val="center"/>
              <w:rPr>
                <w:sz w:val="18"/>
              </w:rPr>
            </w:pPr>
          </w:p>
        </w:tc>
      </w:tr>
      <w:tr w14:paraId="2C36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Merge w:val="continue"/>
            <w:vAlign w:val="center"/>
          </w:tcPr>
          <w:p w14:paraId="77E48A9B">
            <w:pPr>
              <w:jc w:val="center"/>
              <w:rPr>
                <w:sz w:val="18"/>
              </w:rPr>
            </w:pPr>
          </w:p>
        </w:tc>
        <w:tc>
          <w:tcPr>
            <w:tcW w:w="832" w:type="dxa"/>
            <w:vAlign w:val="center"/>
          </w:tcPr>
          <w:p w14:paraId="488F6B49">
            <w:pPr>
              <w:jc w:val="center"/>
              <w:rPr>
                <w:sz w:val="18"/>
              </w:rPr>
            </w:pPr>
          </w:p>
        </w:tc>
        <w:tc>
          <w:tcPr>
            <w:tcW w:w="832" w:type="dxa"/>
            <w:vAlign w:val="center"/>
          </w:tcPr>
          <w:p w14:paraId="00A0000C">
            <w:pPr>
              <w:jc w:val="center"/>
              <w:rPr>
                <w:sz w:val="18"/>
              </w:rPr>
            </w:pPr>
          </w:p>
        </w:tc>
        <w:tc>
          <w:tcPr>
            <w:tcW w:w="832" w:type="dxa"/>
            <w:vAlign w:val="center"/>
          </w:tcPr>
          <w:p w14:paraId="1F04AF80">
            <w:pPr>
              <w:jc w:val="center"/>
              <w:rPr>
                <w:sz w:val="18"/>
              </w:rPr>
            </w:pPr>
          </w:p>
        </w:tc>
        <w:tc>
          <w:tcPr>
            <w:tcW w:w="832" w:type="dxa"/>
            <w:vAlign w:val="center"/>
          </w:tcPr>
          <w:p w14:paraId="4E349098">
            <w:pPr>
              <w:jc w:val="center"/>
              <w:rPr>
                <w:sz w:val="18"/>
              </w:rPr>
            </w:pPr>
          </w:p>
        </w:tc>
        <w:tc>
          <w:tcPr>
            <w:tcW w:w="832" w:type="dxa"/>
            <w:vAlign w:val="center"/>
          </w:tcPr>
          <w:p w14:paraId="0C9426F8">
            <w:pPr>
              <w:jc w:val="center"/>
              <w:rPr>
                <w:sz w:val="18"/>
              </w:rPr>
            </w:pPr>
          </w:p>
        </w:tc>
        <w:tc>
          <w:tcPr>
            <w:tcW w:w="832" w:type="dxa"/>
            <w:vAlign w:val="center"/>
          </w:tcPr>
          <w:p w14:paraId="72A43E30">
            <w:pPr>
              <w:jc w:val="center"/>
              <w:rPr>
                <w:sz w:val="18"/>
              </w:rPr>
            </w:pPr>
          </w:p>
        </w:tc>
        <w:tc>
          <w:tcPr>
            <w:tcW w:w="832" w:type="dxa"/>
            <w:vAlign w:val="center"/>
          </w:tcPr>
          <w:p w14:paraId="0841DFBE">
            <w:pPr>
              <w:jc w:val="center"/>
              <w:rPr>
                <w:sz w:val="18"/>
              </w:rPr>
            </w:pPr>
          </w:p>
        </w:tc>
        <w:tc>
          <w:tcPr>
            <w:tcW w:w="832" w:type="dxa"/>
            <w:vAlign w:val="center"/>
          </w:tcPr>
          <w:p w14:paraId="51AB0ECA">
            <w:pPr>
              <w:jc w:val="center"/>
              <w:rPr>
                <w:sz w:val="18"/>
              </w:rPr>
            </w:pPr>
          </w:p>
        </w:tc>
        <w:tc>
          <w:tcPr>
            <w:tcW w:w="835" w:type="dxa"/>
            <w:vAlign w:val="center"/>
          </w:tcPr>
          <w:p w14:paraId="379BB5DB">
            <w:pPr>
              <w:jc w:val="center"/>
              <w:rPr>
                <w:sz w:val="18"/>
              </w:rPr>
            </w:pPr>
          </w:p>
        </w:tc>
      </w:tr>
      <w:tr w14:paraId="59F2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5EF26D55">
            <w:pPr>
              <w:jc w:val="center"/>
              <w:rPr>
                <w:i/>
                <w:sz w:val="18"/>
              </w:rPr>
            </w:pPr>
            <w:r>
              <w:rPr>
                <w:iCs/>
                <w:sz w:val="18"/>
              </w:rPr>
              <w:t>相对误差(%)</w:t>
            </w:r>
          </w:p>
        </w:tc>
        <w:tc>
          <w:tcPr>
            <w:tcW w:w="832" w:type="dxa"/>
            <w:vAlign w:val="center"/>
          </w:tcPr>
          <w:p w14:paraId="465841D8">
            <w:pPr>
              <w:jc w:val="center"/>
              <w:rPr>
                <w:sz w:val="18"/>
              </w:rPr>
            </w:pPr>
          </w:p>
        </w:tc>
        <w:tc>
          <w:tcPr>
            <w:tcW w:w="832" w:type="dxa"/>
            <w:vAlign w:val="center"/>
          </w:tcPr>
          <w:p w14:paraId="6C78395C">
            <w:pPr>
              <w:jc w:val="center"/>
              <w:rPr>
                <w:sz w:val="18"/>
              </w:rPr>
            </w:pPr>
          </w:p>
        </w:tc>
        <w:tc>
          <w:tcPr>
            <w:tcW w:w="832" w:type="dxa"/>
            <w:vAlign w:val="center"/>
          </w:tcPr>
          <w:p w14:paraId="74E13540">
            <w:pPr>
              <w:jc w:val="center"/>
              <w:rPr>
                <w:sz w:val="18"/>
              </w:rPr>
            </w:pPr>
          </w:p>
        </w:tc>
        <w:tc>
          <w:tcPr>
            <w:tcW w:w="832" w:type="dxa"/>
            <w:vAlign w:val="center"/>
          </w:tcPr>
          <w:p w14:paraId="3A836F5E">
            <w:pPr>
              <w:jc w:val="center"/>
              <w:rPr>
                <w:sz w:val="18"/>
              </w:rPr>
            </w:pPr>
          </w:p>
        </w:tc>
        <w:tc>
          <w:tcPr>
            <w:tcW w:w="832" w:type="dxa"/>
            <w:vAlign w:val="center"/>
          </w:tcPr>
          <w:p w14:paraId="759C9121">
            <w:pPr>
              <w:jc w:val="center"/>
              <w:rPr>
                <w:sz w:val="18"/>
              </w:rPr>
            </w:pPr>
          </w:p>
        </w:tc>
        <w:tc>
          <w:tcPr>
            <w:tcW w:w="832" w:type="dxa"/>
            <w:vAlign w:val="center"/>
          </w:tcPr>
          <w:p w14:paraId="029FD154">
            <w:pPr>
              <w:jc w:val="center"/>
              <w:rPr>
                <w:sz w:val="18"/>
              </w:rPr>
            </w:pPr>
          </w:p>
        </w:tc>
        <w:tc>
          <w:tcPr>
            <w:tcW w:w="832" w:type="dxa"/>
            <w:vAlign w:val="center"/>
          </w:tcPr>
          <w:p w14:paraId="36EDE9CE">
            <w:pPr>
              <w:jc w:val="center"/>
              <w:rPr>
                <w:sz w:val="18"/>
              </w:rPr>
            </w:pPr>
          </w:p>
        </w:tc>
        <w:tc>
          <w:tcPr>
            <w:tcW w:w="832" w:type="dxa"/>
            <w:vAlign w:val="center"/>
          </w:tcPr>
          <w:p w14:paraId="1258ABDB">
            <w:pPr>
              <w:jc w:val="center"/>
              <w:rPr>
                <w:sz w:val="18"/>
              </w:rPr>
            </w:pPr>
          </w:p>
        </w:tc>
        <w:tc>
          <w:tcPr>
            <w:tcW w:w="835" w:type="dxa"/>
            <w:vAlign w:val="center"/>
          </w:tcPr>
          <w:p w14:paraId="35B923AF">
            <w:pPr>
              <w:jc w:val="center"/>
              <w:rPr>
                <w:sz w:val="18"/>
              </w:rPr>
            </w:pPr>
          </w:p>
        </w:tc>
      </w:tr>
      <w:tr w14:paraId="4BEE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2269" w:type="dxa"/>
            <w:vAlign w:val="center"/>
          </w:tcPr>
          <w:p w14:paraId="4A3684E6">
            <w:pPr>
              <w:jc w:val="center"/>
              <w:rPr>
                <w:sz w:val="18"/>
              </w:rPr>
            </w:pPr>
            <w:r>
              <w:rPr>
                <w:i/>
                <w:sz w:val="18"/>
              </w:rPr>
              <w:t>U</w:t>
            </w:r>
            <w:r>
              <w:rPr>
                <w:sz w:val="18"/>
                <w:vertAlign w:val="subscript"/>
              </w:rPr>
              <w:t>rel</w:t>
            </w:r>
            <w:r>
              <w:rPr>
                <w:sz w:val="18"/>
              </w:rPr>
              <w:t>（</w:t>
            </w:r>
            <w:r>
              <w:rPr>
                <w:i/>
                <w:sz w:val="18"/>
              </w:rPr>
              <w:t>k</w:t>
            </w:r>
            <w:r>
              <w:rPr>
                <w:sz w:val="18"/>
              </w:rPr>
              <w:t>=2）</w:t>
            </w:r>
          </w:p>
        </w:tc>
        <w:tc>
          <w:tcPr>
            <w:tcW w:w="832" w:type="dxa"/>
            <w:vAlign w:val="center"/>
          </w:tcPr>
          <w:p w14:paraId="05CB0ABD">
            <w:pPr>
              <w:jc w:val="center"/>
              <w:rPr>
                <w:sz w:val="18"/>
              </w:rPr>
            </w:pPr>
          </w:p>
        </w:tc>
        <w:tc>
          <w:tcPr>
            <w:tcW w:w="832" w:type="dxa"/>
            <w:vAlign w:val="center"/>
          </w:tcPr>
          <w:p w14:paraId="5ED173D4">
            <w:pPr>
              <w:jc w:val="center"/>
              <w:rPr>
                <w:sz w:val="18"/>
              </w:rPr>
            </w:pPr>
          </w:p>
        </w:tc>
        <w:tc>
          <w:tcPr>
            <w:tcW w:w="832" w:type="dxa"/>
            <w:vAlign w:val="center"/>
          </w:tcPr>
          <w:p w14:paraId="0C52753F">
            <w:pPr>
              <w:jc w:val="center"/>
              <w:rPr>
                <w:sz w:val="18"/>
              </w:rPr>
            </w:pPr>
          </w:p>
        </w:tc>
        <w:tc>
          <w:tcPr>
            <w:tcW w:w="832" w:type="dxa"/>
            <w:vAlign w:val="center"/>
          </w:tcPr>
          <w:p w14:paraId="3DAE7422">
            <w:pPr>
              <w:jc w:val="center"/>
              <w:rPr>
                <w:sz w:val="18"/>
              </w:rPr>
            </w:pPr>
          </w:p>
        </w:tc>
        <w:tc>
          <w:tcPr>
            <w:tcW w:w="832" w:type="dxa"/>
            <w:vAlign w:val="center"/>
          </w:tcPr>
          <w:p w14:paraId="49F4C0BC">
            <w:pPr>
              <w:jc w:val="center"/>
              <w:rPr>
                <w:sz w:val="18"/>
              </w:rPr>
            </w:pPr>
          </w:p>
        </w:tc>
        <w:tc>
          <w:tcPr>
            <w:tcW w:w="832" w:type="dxa"/>
            <w:vAlign w:val="center"/>
          </w:tcPr>
          <w:p w14:paraId="1C71D5B6">
            <w:pPr>
              <w:jc w:val="center"/>
              <w:rPr>
                <w:sz w:val="18"/>
              </w:rPr>
            </w:pPr>
          </w:p>
        </w:tc>
        <w:tc>
          <w:tcPr>
            <w:tcW w:w="832" w:type="dxa"/>
            <w:vAlign w:val="center"/>
          </w:tcPr>
          <w:p w14:paraId="475B06A4">
            <w:pPr>
              <w:jc w:val="center"/>
              <w:rPr>
                <w:sz w:val="18"/>
              </w:rPr>
            </w:pPr>
          </w:p>
        </w:tc>
        <w:tc>
          <w:tcPr>
            <w:tcW w:w="832" w:type="dxa"/>
            <w:vAlign w:val="center"/>
          </w:tcPr>
          <w:p w14:paraId="2599264B">
            <w:pPr>
              <w:jc w:val="center"/>
              <w:rPr>
                <w:sz w:val="18"/>
              </w:rPr>
            </w:pPr>
          </w:p>
        </w:tc>
        <w:tc>
          <w:tcPr>
            <w:tcW w:w="835" w:type="dxa"/>
            <w:vAlign w:val="center"/>
          </w:tcPr>
          <w:p w14:paraId="2F75D0FB">
            <w:pPr>
              <w:jc w:val="center"/>
              <w:rPr>
                <w:sz w:val="18"/>
              </w:rPr>
            </w:pPr>
          </w:p>
        </w:tc>
      </w:tr>
    </w:tbl>
    <w:p w14:paraId="34B70167">
      <w:pPr>
        <w:jc w:val="center"/>
      </w:pPr>
      <w:r>
        <w:rPr>
          <w:szCs w:val="21"/>
        </w:rPr>
        <w:t>以下空白</w:t>
      </w:r>
    </w:p>
    <w:sectPr>
      <w:headerReference r:id="rId17" w:type="default"/>
      <w:pgSz w:w="11906" w:h="16838"/>
      <w:pgMar w:top="1928" w:right="1361" w:bottom="1134" w:left="1361" w:header="1361" w:footer="851" w:gutter="0"/>
      <w:pgNumType w:start="1"/>
      <w:cols w:space="720" w:num="1"/>
      <w:docGrid w:type="linesAndChars" w:linePitch="39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00" w:usb3="00000000" w:csb0="00000000" w:csb1="00000000"/>
  </w:font>
  <w:font w:name="E-BX">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Georgia">
    <w:panose1 w:val="02040502050405020303"/>
    <w:charset w:val="00"/>
    <w:family w:val="roman"/>
    <w:pitch w:val="default"/>
    <w:sig w:usb0="00000287" w:usb1="00000000" w:usb2="00000000" w:usb3="00000000" w:csb0="2000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C2C9A">
    <w:pPr>
      <w:pStyle w:val="20"/>
      <w:jc w:val="right"/>
    </w:pPr>
    <w:r>
      <w:fldChar w:fldCharType="begin"/>
    </w:r>
    <w:r>
      <w:rPr>
        <w:rStyle w:val="34"/>
      </w:rPr>
      <w:instrText xml:space="preserve"> PAGE </w:instrText>
    </w:r>
    <w:r>
      <w:fldChar w:fldCharType="separate"/>
    </w:r>
    <w:r>
      <w:rPr>
        <w:rStyle w:val="34"/>
      </w:rPr>
      <w:t>III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1BF32">
    <w:pPr>
      <w:pStyle w:val="2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74230">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9E6B">
    <w:pPr>
      <w:pStyle w:val="2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F86A0">
    <w:pPr>
      <w:pStyle w:val="2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6CF29">
    <w:pPr>
      <w:pStyle w:val="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E368A">
    <w:pPr>
      <w:pStyle w:val="20"/>
      <w:jc w:val="right"/>
    </w:pPr>
    <w:r>
      <w:pict>
        <v:shape id="_x0000_s1027" o:spid="_x0000_s1027"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uo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v+E26hQCAAAVBAAADgAAAAAAAAAB&#10;ACAAAAAfAQAAZHJzL2Uyb0RvYy54bWxQSwUGAAAAAAYABgBZAQAApQUAAAAA&#10;">
          <v:path/>
          <v:fill on="f" focussize="0,0"/>
          <v:stroke on="f" weight="0.5pt" joinstyle="miter"/>
          <v:imagedata o:title=""/>
          <o:lock v:ext="edit"/>
          <v:textbox inset="0mm,0mm,0mm,0mm" style="mso-fit-shape-to-text:t;">
            <w:txbxContent>
              <w:p w14:paraId="3CE9AD85">
                <w:pPr>
                  <w:pStyle w:val="20"/>
                </w:pPr>
                <w:r>
                  <w:fldChar w:fldCharType="begin"/>
                </w:r>
                <w:r>
                  <w:instrText xml:space="preserve"> PAGE  \* MERGEFORMAT </w:instrText>
                </w:r>
                <w:r>
                  <w:fldChar w:fldCharType="separate"/>
                </w:r>
                <w:r>
                  <w:t>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7ABE2">
    <w:pPr>
      <w:pStyle w:val="20"/>
      <w:framePr w:wrap="around" w:vAnchor="text" w:hAnchor="margin" w:xAlign="center" w:y="1"/>
      <w:rPr>
        <w:rStyle w:val="34"/>
      </w:rPr>
    </w:pPr>
    <w:r>
      <w:rPr>
        <w:rStyle w:val="34"/>
      </w:rPr>
      <w:fldChar w:fldCharType="begin"/>
    </w:r>
    <w:r>
      <w:rPr>
        <w:rStyle w:val="34"/>
      </w:rPr>
      <w:instrText xml:space="preserve">PAGE  </w:instrText>
    </w:r>
    <w:r>
      <w:rPr>
        <w:rStyle w:val="34"/>
      </w:rPr>
      <w:fldChar w:fldCharType="separate"/>
    </w:r>
    <w:r>
      <w:rPr>
        <w:rStyle w:val="34"/>
      </w:rPr>
      <w:t>1</w:t>
    </w:r>
    <w:r>
      <w:rPr>
        <w:rStyle w:val="34"/>
      </w:rPr>
      <w:fldChar w:fldCharType="end"/>
    </w:r>
  </w:p>
  <w:p w14:paraId="2CCF0D29">
    <w:pPr>
      <w:pStyle w:val="20"/>
      <w:ind w:firstLine="9090" w:firstLineChars="505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27219">
    <w:pPr>
      <w:pStyle w:val="20"/>
      <w:framePr w:wrap="around" w:vAnchor="text" w:hAnchor="margin" w:xAlign="center" w:y="1"/>
      <w:rPr>
        <w:rStyle w:val="34"/>
      </w:rPr>
    </w:pPr>
    <w:r>
      <w:rPr>
        <w:rStyle w:val="34"/>
      </w:rPr>
      <w:fldChar w:fldCharType="begin"/>
    </w:r>
    <w:r>
      <w:rPr>
        <w:rStyle w:val="34"/>
      </w:rPr>
      <w:instrText xml:space="preserve">PAGE  </w:instrText>
    </w:r>
    <w:r>
      <w:rPr>
        <w:rStyle w:val="34"/>
      </w:rPr>
      <w:fldChar w:fldCharType="separate"/>
    </w:r>
    <w:r>
      <w:rPr>
        <w:rStyle w:val="34"/>
      </w:rPr>
      <w:t>12</w:t>
    </w:r>
    <w:r>
      <w:rPr>
        <w:rStyle w:val="34"/>
      </w:rPr>
      <w:fldChar w:fldCharType="end"/>
    </w:r>
  </w:p>
  <w:p w14:paraId="09053F91">
    <w:pPr>
      <w:pStyle w:val="20"/>
      <w:ind w:firstLine="8910" w:firstLineChars="49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C24DE">
    <w:pPr>
      <w:pStyle w:val="21"/>
    </w:pPr>
    <w:r>
      <w:rPr>
        <w:rFonts w:hint="eastAsia" w:ascii="黑体" w:eastAsia="黑体"/>
        <w:sz w:val="21"/>
        <w:szCs w:val="21"/>
      </w:rPr>
      <w:t>JJF（皖）</w:t>
    </w:r>
    <w:r>
      <w:rPr>
        <w:rFonts w:hint="eastAsia" w:ascii="黑体" w:hAnsi="Georgia" w:eastAsia="黑体"/>
        <w:sz w:val="21"/>
        <w:szCs w:val="21"/>
      </w:rPr>
      <w:t>××</w:t>
    </w:r>
    <w:r>
      <w:rPr>
        <w:rFonts w:hint="eastAsia" w:ascii="黑体" w:eastAsia="黑体"/>
        <w:sz w:val="21"/>
        <w:szCs w:val="21"/>
      </w:rPr>
      <w:t>-</w:t>
    </w:r>
    <w:r>
      <w:rPr>
        <w:rFonts w:hint="eastAsia" w:ascii="黑体" w:hAnsi="Georgia" w:eastAsia="黑体"/>
        <w:sz w:val="21"/>
        <w:szCs w:val="21"/>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9CA23">
    <w:pPr>
      <w:pStyle w:val="21"/>
    </w:pPr>
    <w:r>
      <w:rPr>
        <w:rFonts w:hint="eastAsia" w:ascii="黑体" w:eastAsia="黑体"/>
        <w:sz w:val="21"/>
        <w:szCs w:val="21"/>
      </w:rPr>
      <w:t>JJF （皖）xxx—20xx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00CB">
    <w:pPr>
      <w:pStyle w:val="21"/>
    </w:pPr>
    <w:r>
      <w:rPr>
        <w:rFonts w:hint="eastAsia" w:ascii="黑体" w:eastAsia="黑体"/>
        <w:sz w:val="21"/>
        <w:szCs w:val="21"/>
      </w:rPr>
      <w:t>JJF（皖）</w:t>
    </w:r>
    <w:r>
      <w:rPr>
        <w:rFonts w:hint="eastAsia" w:ascii="黑体" w:hAnsi="Georgia" w:eastAsia="黑体"/>
        <w:sz w:val="21"/>
        <w:szCs w:val="21"/>
      </w:rPr>
      <w:t>××</w:t>
    </w:r>
    <w:r>
      <w:rPr>
        <w:rFonts w:hint="eastAsia" w:ascii="黑体" w:eastAsia="黑体"/>
        <w:sz w:val="21"/>
        <w:szCs w:val="21"/>
      </w:rPr>
      <w:t>-</w:t>
    </w:r>
    <w:r>
      <w:rPr>
        <w:rFonts w:hint="eastAsia" w:ascii="黑体" w:hAnsi="Georgia" w:eastAsia="黑体"/>
        <w:sz w:val="21"/>
        <w:szCs w:val="21"/>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314B8">
    <w:pPr>
      <w:pStyle w:val="21"/>
    </w:pPr>
    <w:r>
      <w:rPr>
        <w:rFonts w:hint="eastAsia" w:ascii="黑体" w:eastAsia="黑体"/>
        <w:sz w:val="21"/>
        <w:szCs w:val="21"/>
      </w:rPr>
      <w:t>JJF（皖）</w:t>
    </w:r>
    <w:r>
      <w:rPr>
        <w:rFonts w:hint="eastAsia" w:ascii="黑体" w:hAnsi="Georgia" w:eastAsia="黑体"/>
        <w:sz w:val="21"/>
        <w:szCs w:val="21"/>
      </w:rPr>
      <w:t>××</w:t>
    </w:r>
    <w:r>
      <w:rPr>
        <w:rFonts w:hint="eastAsia" w:ascii="黑体" w:eastAsia="黑体"/>
        <w:sz w:val="21"/>
        <w:szCs w:val="21"/>
      </w:rPr>
      <w:t>-</w:t>
    </w:r>
    <w:r>
      <w:rPr>
        <w:rFonts w:hint="eastAsia" w:ascii="黑体" w:hAnsi="Georgia" w:eastAsia="黑体"/>
        <w:sz w:val="21"/>
        <w:szCs w:val="21"/>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2391">
    <w:pPr>
      <w:pStyle w:val="21"/>
    </w:pPr>
    <w:r>
      <w:rPr>
        <w:rFonts w:hint="eastAsia" w:ascii="黑体" w:eastAsia="黑体"/>
        <w:sz w:val="21"/>
        <w:szCs w:val="21"/>
      </w:rPr>
      <w:t xml:space="preserve">JJF(皖) </w:t>
    </w:r>
    <w:r>
      <w:rPr>
        <w:rFonts w:hint="eastAsia" w:ascii="黑体" w:hAnsi="Georgia" w:eastAsia="黑体"/>
        <w:sz w:val="21"/>
        <w:szCs w:val="21"/>
      </w:rPr>
      <w:t>××</w:t>
    </w:r>
    <w:r>
      <w:rPr>
        <w:rFonts w:hint="eastAsia" w:ascii="黑体" w:eastAsia="黑体"/>
        <w:sz w:val="21"/>
        <w:szCs w:val="21"/>
      </w:rPr>
      <w:t>-</w:t>
    </w:r>
    <w:r>
      <w:rPr>
        <w:rFonts w:hint="eastAsia" w:ascii="黑体" w:hAnsi="Georgia" w:eastAsia="黑体"/>
        <w:sz w:val="21"/>
        <w:szCs w:val="21"/>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15504">
    <w:pPr>
      <w:pStyle w:val="21"/>
    </w:pPr>
    <w:r>
      <w:rPr>
        <w:rFonts w:hint="eastAsia" w:ascii="黑体" w:eastAsia="黑体"/>
        <w:sz w:val="21"/>
        <w:szCs w:val="21"/>
      </w:rPr>
      <w:t>JJF（皖）</w:t>
    </w:r>
    <w:r>
      <w:rPr>
        <w:rFonts w:hint="eastAsia" w:ascii="黑体" w:hAnsi="Georgia" w:eastAsia="黑体"/>
        <w:sz w:val="21"/>
        <w:szCs w:val="21"/>
      </w:rPr>
      <w:t>××</w:t>
    </w:r>
    <w:r>
      <w:rPr>
        <w:rFonts w:hint="eastAsia" w:ascii="黑体" w:eastAsia="黑体"/>
        <w:sz w:val="21"/>
        <w:szCs w:val="21"/>
      </w:rPr>
      <w:t>-</w:t>
    </w:r>
    <w:r>
      <w:rPr>
        <w:rFonts w:hint="eastAsia" w:ascii="黑体" w:hAnsi="Georgia" w:eastAsia="黑体"/>
        <w:sz w:val="21"/>
        <w:szCs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6A4DF8"/>
    <w:multiLevelType w:val="multilevel"/>
    <w:tmpl w:val="3D6A4DF8"/>
    <w:lvl w:ilvl="0" w:tentative="0">
      <w:start w:val="1"/>
      <w:numFmt w:val="decimal"/>
      <w:pStyle w:val="71"/>
      <w:lvlText w:val="[%1]"/>
      <w:lvlJc w:val="left"/>
      <w:pPr>
        <w:tabs>
          <w:tab w:val="left" w:pos="360"/>
        </w:tabs>
        <w:ind w:left="360" w:hanging="360"/>
      </w:pPr>
      <w:rPr>
        <w:rFonts w:hint="default"/>
        <w:vertAlign w:val="superscrip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57C2AF5"/>
    <w:multiLevelType w:val="multilevel"/>
    <w:tmpl w:val="557C2AF5"/>
    <w:lvl w:ilvl="0" w:tentative="0">
      <w:start w:val="1"/>
      <w:numFmt w:val="decimal"/>
      <w:pStyle w:val="64"/>
      <w:suff w:val="nothing"/>
      <w:lvlText w:val="图%1　"/>
      <w:lvlJc w:val="left"/>
      <w:pPr>
        <w:ind w:left="315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5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57D3FBC"/>
    <w:multiLevelType w:val="multilevel"/>
    <w:tmpl w:val="657D3FBC"/>
    <w:lvl w:ilvl="0" w:tentative="0">
      <w:start w:val="1"/>
      <w:numFmt w:val="upperLetter"/>
      <w:pStyle w:val="53"/>
      <w:suff w:val="nothing"/>
      <w:lvlText w:val="附 录 %1"/>
      <w:lvlJc w:val="left"/>
      <w:pPr>
        <w:ind w:left="0" w:firstLine="0"/>
      </w:pPr>
      <w:rPr>
        <w:rFonts w:hint="eastAsia" w:ascii="黑体" w:hAnsi="Times New Roman" w:eastAsia="黑体"/>
        <w:b w:val="0"/>
        <w:i w:val="0"/>
        <w:sz w:val="21"/>
      </w:rPr>
    </w:lvl>
    <w:lvl w:ilvl="1" w:tentative="0">
      <w:start w:val="1"/>
      <w:numFmt w:val="decimal"/>
      <w:pStyle w:val="5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5"/>
      <w:suff w:val="nothing"/>
      <w:lvlText w:val="%1.%2.%3　"/>
      <w:lvlJc w:val="left"/>
      <w:pPr>
        <w:ind w:left="360" w:firstLine="0"/>
      </w:pPr>
      <w:rPr>
        <w:rFonts w:hint="eastAsia" w:ascii="黑体" w:hAnsi="Times New Roman" w:eastAsia="黑体"/>
        <w:b w:val="0"/>
        <w:i w:val="0"/>
        <w:sz w:val="21"/>
      </w:rPr>
    </w:lvl>
    <w:lvl w:ilvl="3" w:tentative="0">
      <w:start w:val="1"/>
      <w:numFmt w:val="decimal"/>
      <w:pStyle w:val="54"/>
      <w:suff w:val="nothing"/>
      <w:lvlText w:val="%1.%2.%3.%4　"/>
      <w:lvlJc w:val="left"/>
      <w:pPr>
        <w:ind w:left="180" w:firstLine="0"/>
      </w:pPr>
      <w:rPr>
        <w:rFonts w:hint="eastAsia" w:ascii="黑体" w:hAnsi="Times New Roman" w:eastAsia="黑体"/>
        <w:b w:val="0"/>
        <w:i w:val="0"/>
        <w:sz w:val="21"/>
      </w:rPr>
    </w:lvl>
    <w:lvl w:ilvl="4" w:tentative="0">
      <w:start w:val="1"/>
      <w:numFmt w:val="decimal"/>
      <w:pStyle w:val="67"/>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pStyle w:val="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177485"/>
    <w:multiLevelType w:val="singleLevel"/>
    <w:tmpl w:val="6C177485"/>
    <w:lvl w:ilvl="0" w:tentative="0">
      <w:start w:val="1"/>
      <w:numFmt w:val="decimal"/>
      <w:pStyle w:val="82"/>
      <w:lvlText w:val="%1."/>
      <w:lvlJc w:val="left"/>
      <w:pPr>
        <w:tabs>
          <w:tab w:val="left" w:pos="165"/>
        </w:tabs>
        <w:ind w:left="165" w:hanging="165"/>
      </w:pPr>
      <w:rPr>
        <w:rFonts w:hint="eastAsia"/>
      </w:rPr>
    </w:lvl>
  </w:abstractNum>
  <w:abstractNum w:abstractNumId="5">
    <w:nsid w:val="6CEA2025"/>
    <w:multiLevelType w:val="multilevel"/>
    <w:tmpl w:val="6CEA2025"/>
    <w:lvl w:ilvl="0" w:tentative="0">
      <w:start w:val="1"/>
      <w:numFmt w:val="none"/>
      <w:pStyle w:val="49"/>
      <w:suff w:val="nothing"/>
      <w:lvlText w:val="%1"/>
      <w:lvlJc w:val="left"/>
      <w:pPr>
        <w:ind w:left="0" w:firstLine="0"/>
      </w:pPr>
      <w:rPr>
        <w:rFonts w:hint="default" w:ascii="Times New Roman" w:hAnsi="Times New Roman"/>
        <w:b/>
        <w:i w:val="0"/>
        <w:sz w:val="21"/>
      </w:rPr>
    </w:lvl>
    <w:lvl w:ilvl="1" w:tentative="0">
      <w:start w:val="7"/>
      <w:numFmt w:val="decimal"/>
      <w:pStyle w:val="47"/>
      <w:suff w:val="nothing"/>
      <w:lvlText w:val="%1%2　"/>
      <w:lvlJc w:val="left"/>
      <w:pPr>
        <w:ind w:left="0" w:firstLine="0"/>
      </w:pPr>
      <w:rPr>
        <w:rFonts w:hint="eastAsia" w:ascii="黑体" w:hAnsi="Times New Roman" w:eastAsia="黑体"/>
        <w:b w:val="0"/>
        <w:i w:val="0"/>
        <w:sz w:val="21"/>
      </w:rPr>
    </w:lvl>
    <w:lvl w:ilvl="2" w:tentative="0">
      <w:start w:val="1"/>
      <w:numFmt w:val="decimal"/>
      <w:pStyle w:val="48"/>
      <w:suff w:val="nothing"/>
      <w:lvlText w:val="%1%2.%3　"/>
      <w:lvlJc w:val="left"/>
      <w:pPr>
        <w:ind w:left="0" w:firstLine="0"/>
      </w:pPr>
      <w:rPr>
        <w:rFonts w:hint="eastAsia" w:ascii="黑体" w:hAnsi="Times New Roman" w:eastAsia="黑体"/>
        <w:b w:val="0"/>
        <w:i w:val="0"/>
        <w:sz w:val="21"/>
      </w:rPr>
    </w:lvl>
    <w:lvl w:ilvl="3" w:tentative="0">
      <w:start w:val="4"/>
      <w:numFmt w:val="none"/>
      <w:pStyle w:val="50"/>
      <w:suff w:val="nothing"/>
      <w:lvlText w:val="7.4.1　"/>
      <w:lvlJc w:val="left"/>
      <w:pPr>
        <w:ind w:left="0" w:firstLine="0"/>
      </w:pPr>
      <w:rPr>
        <w:rFonts w:hint="eastAsia" w:ascii="黑体" w:hAnsi="Times New Roman" w:eastAsia="黑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pStyle w:val="5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evenAndOddHeaders w:val="1"/>
  <w:drawingGridHorizontalSpacing w:val="105"/>
  <w:drawingGridVerticalSpacing w:val="393"/>
  <w:displayHorizontalDrawingGridEvery w:val="0"/>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7C"/>
    <w:rsid w:val="000029EA"/>
    <w:rsid w:val="00002F96"/>
    <w:rsid w:val="0000565D"/>
    <w:rsid w:val="0000627D"/>
    <w:rsid w:val="000106B9"/>
    <w:rsid w:val="000114FA"/>
    <w:rsid w:val="00014BCB"/>
    <w:rsid w:val="000168D6"/>
    <w:rsid w:val="0002141A"/>
    <w:rsid w:val="00032524"/>
    <w:rsid w:val="000336CC"/>
    <w:rsid w:val="00034855"/>
    <w:rsid w:val="00034BA2"/>
    <w:rsid w:val="000358E0"/>
    <w:rsid w:val="0003788D"/>
    <w:rsid w:val="00040EE5"/>
    <w:rsid w:val="00042C2A"/>
    <w:rsid w:val="0004685F"/>
    <w:rsid w:val="00046B51"/>
    <w:rsid w:val="0004787D"/>
    <w:rsid w:val="000478D6"/>
    <w:rsid w:val="00050A01"/>
    <w:rsid w:val="000554FC"/>
    <w:rsid w:val="0005622F"/>
    <w:rsid w:val="00063FA1"/>
    <w:rsid w:val="000651B5"/>
    <w:rsid w:val="000676C7"/>
    <w:rsid w:val="00071331"/>
    <w:rsid w:val="00075CC0"/>
    <w:rsid w:val="00080335"/>
    <w:rsid w:val="000823AF"/>
    <w:rsid w:val="000839E3"/>
    <w:rsid w:val="0008543D"/>
    <w:rsid w:val="00086880"/>
    <w:rsid w:val="00090AE1"/>
    <w:rsid w:val="000932F7"/>
    <w:rsid w:val="00096C22"/>
    <w:rsid w:val="000A1622"/>
    <w:rsid w:val="000A59E3"/>
    <w:rsid w:val="000A7CA6"/>
    <w:rsid w:val="000B3A3D"/>
    <w:rsid w:val="000B41ED"/>
    <w:rsid w:val="000C0BE3"/>
    <w:rsid w:val="000C3263"/>
    <w:rsid w:val="000C45D9"/>
    <w:rsid w:val="000C6F3C"/>
    <w:rsid w:val="000D5409"/>
    <w:rsid w:val="000E1FE9"/>
    <w:rsid w:val="000E3AD0"/>
    <w:rsid w:val="000F1E70"/>
    <w:rsid w:val="000F72C2"/>
    <w:rsid w:val="00100290"/>
    <w:rsid w:val="001122C3"/>
    <w:rsid w:val="00112F31"/>
    <w:rsid w:val="0011716A"/>
    <w:rsid w:val="001250F1"/>
    <w:rsid w:val="001264FC"/>
    <w:rsid w:val="00130357"/>
    <w:rsid w:val="001333DB"/>
    <w:rsid w:val="00134B3D"/>
    <w:rsid w:val="001367FD"/>
    <w:rsid w:val="001376A2"/>
    <w:rsid w:val="001472BA"/>
    <w:rsid w:val="00147FD2"/>
    <w:rsid w:val="001503F2"/>
    <w:rsid w:val="00151300"/>
    <w:rsid w:val="00151472"/>
    <w:rsid w:val="00152690"/>
    <w:rsid w:val="0016159C"/>
    <w:rsid w:val="00165D88"/>
    <w:rsid w:val="00165ED7"/>
    <w:rsid w:val="001671C5"/>
    <w:rsid w:val="001676F8"/>
    <w:rsid w:val="00172A27"/>
    <w:rsid w:val="00180310"/>
    <w:rsid w:val="0018172D"/>
    <w:rsid w:val="00187752"/>
    <w:rsid w:val="00190341"/>
    <w:rsid w:val="0019171E"/>
    <w:rsid w:val="0019324F"/>
    <w:rsid w:val="0019540C"/>
    <w:rsid w:val="0019593B"/>
    <w:rsid w:val="00196DC3"/>
    <w:rsid w:val="00196FB3"/>
    <w:rsid w:val="00197B41"/>
    <w:rsid w:val="001A103C"/>
    <w:rsid w:val="001A2C26"/>
    <w:rsid w:val="001A3352"/>
    <w:rsid w:val="001A6B11"/>
    <w:rsid w:val="001A6CE6"/>
    <w:rsid w:val="001B0AE0"/>
    <w:rsid w:val="001B179A"/>
    <w:rsid w:val="001B1F42"/>
    <w:rsid w:val="001B33E6"/>
    <w:rsid w:val="001B381E"/>
    <w:rsid w:val="001B440F"/>
    <w:rsid w:val="001B57F3"/>
    <w:rsid w:val="001B7E46"/>
    <w:rsid w:val="001C0705"/>
    <w:rsid w:val="001C0B12"/>
    <w:rsid w:val="001C2A15"/>
    <w:rsid w:val="001C3269"/>
    <w:rsid w:val="001C5006"/>
    <w:rsid w:val="001C5493"/>
    <w:rsid w:val="001D03DA"/>
    <w:rsid w:val="001D3EBD"/>
    <w:rsid w:val="001D434A"/>
    <w:rsid w:val="001E0A4F"/>
    <w:rsid w:val="001E4767"/>
    <w:rsid w:val="001E7697"/>
    <w:rsid w:val="001E77E2"/>
    <w:rsid w:val="001F14A3"/>
    <w:rsid w:val="001F4FE9"/>
    <w:rsid w:val="001F5F6C"/>
    <w:rsid w:val="00206E53"/>
    <w:rsid w:val="00213307"/>
    <w:rsid w:val="00214615"/>
    <w:rsid w:val="00214737"/>
    <w:rsid w:val="00214D39"/>
    <w:rsid w:val="002157B1"/>
    <w:rsid w:val="0022194D"/>
    <w:rsid w:val="002272D2"/>
    <w:rsid w:val="00227375"/>
    <w:rsid w:val="00232CE1"/>
    <w:rsid w:val="00240C06"/>
    <w:rsid w:val="0024112B"/>
    <w:rsid w:val="0024137A"/>
    <w:rsid w:val="00244C1B"/>
    <w:rsid w:val="00245396"/>
    <w:rsid w:val="00245A40"/>
    <w:rsid w:val="00245E31"/>
    <w:rsid w:val="0025423B"/>
    <w:rsid w:val="002563D7"/>
    <w:rsid w:val="00257D71"/>
    <w:rsid w:val="002613E5"/>
    <w:rsid w:val="0026263C"/>
    <w:rsid w:val="0026454C"/>
    <w:rsid w:val="00267E06"/>
    <w:rsid w:val="0027397E"/>
    <w:rsid w:val="00274047"/>
    <w:rsid w:val="00275610"/>
    <w:rsid w:val="00286E93"/>
    <w:rsid w:val="00293050"/>
    <w:rsid w:val="002943CD"/>
    <w:rsid w:val="00295D92"/>
    <w:rsid w:val="002974B4"/>
    <w:rsid w:val="00297513"/>
    <w:rsid w:val="002A4FA7"/>
    <w:rsid w:val="002A5322"/>
    <w:rsid w:val="002B12E5"/>
    <w:rsid w:val="002B1D1D"/>
    <w:rsid w:val="002B4993"/>
    <w:rsid w:val="002B4B67"/>
    <w:rsid w:val="002B6B00"/>
    <w:rsid w:val="002B6BB7"/>
    <w:rsid w:val="002C4677"/>
    <w:rsid w:val="002C6C7A"/>
    <w:rsid w:val="002C6E81"/>
    <w:rsid w:val="002D2888"/>
    <w:rsid w:val="002D3A2D"/>
    <w:rsid w:val="002D6B3B"/>
    <w:rsid w:val="002E5046"/>
    <w:rsid w:val="002F15C4"/>
    <w:rsid w:val="002F3384"/>
    <w:rsid w:val="002F47CB"/>
    <w:rsid w:val="00306B42"/>
    <w:rsid w:val="00310750"/>
    <w:rsid w:val="00310B12"/>
    <w:rsid w:val="00314FF5"/>
    <w:rsid w:val="0032602F"/>
    <w:rsid w:val="00326BAF"/>
    <w:rsid w:val="003325E6"/>
    <w:rsid w:val="003367A1"/>
    <w:rsid w:val="00336810"/>
    <w:rsid w:val="00342339"/>
    <w:rsid w:val="00342EA8"/>
    <w:rsid w:val="0034614B"/>
    <w:rsid w:val="00350D38"/>
    <w:rsid w:val="00351148"/>
    <w:rsid w:val="0035149E"/>
    <w:rsid w:val="00355CB5"/>
    <w:rsid w:val="003617D2"/>
    <w:rsid w:val="00362398"/>
    <w:rsid w:val="00363527"/>
    <w:rsid w:val="00364AE1"/>
    <w:rsid w:val="00364F02"/>
    <w:rsid w:val="00365E8A"/>
    <w:rsid w:val="00366350"/>
    <w:rsid w:val="00366FA1"/>
    <w:rsid w:val="0037313C"/>
    <w:rsid w:val="0037314F"/>
    <w:rsid w:val="00374340"/>
    <w:rsid w:val="00375EA6"/>
    <w:rsid w:val="00377296"/>
    <w:rsid w:val="00380B57"/>
    <w:rsid w:val="00384132"/>
    <w:rsid w:val="00385A44"/>
    <w:rsid w:val="003868A2"/>
    <w:rsid w:val="00387082"/>
    <w:rsid w:val="00391841"/>
    <w:rsid w:val="00393E08"/>
    <w:rsid w:val="00394DFB"/>
    <w:rsid w:val="00396B96"/>
    <w:rsid w:val="003A00C4"/>
    <w:rsid w:val="003A1765"/>
    <w:rsid w:val="003A4380"/>
    <w:rsid w:val="003A7083"/>
    <w:rsid w:val="003B040F"/>
    <w:rsid w:val="003B5512"/>
    <w:rsid w:val="003C6F2A"/>
    <w:rsid w:val="003C75BC"/>
    <w:rsid w:val="003D2D3E"/>
    <w:rsid w:val="003D5531"/>
    <w:rsid w:val="003D7054"/>
    <w:rsid w:val="003D73DC"/>
    <w:rsid w:val="003E2399"/>
    <w:rsid w:val="003E2F2C"/>
    <w:rsid w:val="003E3FBE"/>
    <w:rsid w:val="003E4E30"/>
    <w:rsid w:val="003F24E5"/>
    <w:rsid w:val="003F3C3B"/>
    <w:rsid w:val="0040134D"/>
    <w:rsid w:val="004033B8"/>
    <w:rsid w:val="004054D2"/>
    <w:rsid w:val="00412C7D"/>
    <w:rsid w:val="0041320C"/>
    <w:rsid w:val="00414C18"/>
    <w:rsid w:val="00424924"/>
    <w:rsid w:val="0042510E"/>
    <w:rsid w:val="004322F0"/>
    <w:rsid w:val="004350EA"/>
    <w:rsid w:val="00435D8F"/>
    <w:rsid w:val="0044613F"/>
    <w:rsid w:val="0044659B"/>
    <w:rsid w:val="00453FC7"/>
    <w:rsid w:val="00454820"/>
    <w:rsid w:val="0045584B"/>
    <w:rsid w:val="00460A73"/>
    <w:rsid w:val="00462622"/>
    <w:rsid w:val="004647C9"/>
    <w:rsid w:val="0046633C"/>
    <w:rsid w:val="00466515"/>
    <w:rsid w:val="00471794"/>
    <w:rsid w:val="00477ABD"/>
    <w:rsid w:val="00481564"/>
    <w:rsid w:val="00483489"/>
    <w:rsid w:val="004849F3"/>
    <w:rsid w:val="0048582E"/>
    <w:rsid w:val="0049154D"/>
    <w:rsid w:val="00491D6A"/>
    <w:rsid w:val="004925D6"/>
    <w:rsid w:val="00494A65"/>
    <w:rsid w:val="00496188"/>
    <w:rsid w:val="004977DE"/>
    <w:rsid w:val="004A31FB"/>
    <w:rsid w:val="004B1ABB"/>
    <w:rsid w:val="004B23CF"/>
    <w:rsid w:val="004B5D31"/>
    <w:rsid w:val="004B6C72"/>
    <w:rsid w:val="004C0436"/>
    <w:rsid w:val="004C24D8"/>
    <w:rsid w:val="004C35F6"/>
    <w:rsid w:val="004C3667"/>
    <w:rsid w:val="004C3C75"/>
    <w:rsid w:val="004C43A2"/>
    <w:rsid w:val="004D303D"/>
    <w:rsid w:val="004D38BC"/>
    <w:rsid w:val="004D4E1C"/>
    <w:rsid w:val="004D5DA0"/>
    <w:rsid w:val="004D7EC1"/>
    <w:rsid w:val="004E2569"/>
    <w:rsid w:val="004E4337"/>
    <w:rsid w:val="004E51ED"/>
    <w:rsid w:val="004E56AF"/>
    <w:rsid w:val="004E6056"/>
    <w:rsid w:val="00500EC8"/>
    <w:rsid w:val="00501BC8"/>
    <w:rsid w:val="00502260"/>
    <w:rsid w:val="00502C5E"/>
    <w:rsid w:val="005108D4"/>
    <w:rsid w:val="00516FCF"/>
    <w:rsid w:val="00520911"/>
    <w:rsid w:val="0052468A"/>
    <w:rsid w:val="00526797"/>
    <w:rsid w:val="00526ED4"/>
    <w:rsid w:val="00527390"/>
    <w:rsid w:val="00532D27"/>
    <w:rsid w:val="00533A3D"/>
    <w:rsid w:val="00536097"/>
    <w:rsid w:val="0053676E"/>
    <w:rsid w:val="00536E1A"/>
    <w:rsid w:val="00536E58"/>
    <w:rsid w:val="00541DDA"/>
    <w:rsid w:val="0054635E"/>
    <w:rsid w:val="00546508"/>
    <w:rsid w:val="00547F12"/>
    <w:rsid w:val="00551B7C"/>
    <w:rsid w:val="005538D3"/>
    <w:rsid w:val="00555357"/>
    <w:rsid w:val="00562481"/>
    <w:rsid w:val="005658C5"/>
    <w:rsid w:val="00566513"/>
    <w:rsid w:val="00567CB1"/>
    <w:rsid w:val="00581534"/>
    <w:rsid w:val="00583DE2"/>
    <w:rsid w:val="00584391"/>
    <w:rsid w:val="00585A54"/>
    <w:rsid w:val="00585F7C"/>
    <w:rsid w:val="0059039B"/>
    <w:rsid w:val="00593C44"/>
    <w:rsid w:val="005968D8"/>
    <w:rsid w:val="00597575"/>
    <w:rsid w:val="005A0144"/>
    <w:rsid w:val="005A0C64"/>
    <w:rsid w:val="005A2712"/>
    <w:rsid w:val="005A3372"/>
    <w:rsid w:val="005A5057"/>
    <w:rsid w:val="005A662F"/>
    <w:rsid w:val="005A7E6B"/>
    <w:rsid w:val="005B243B"/>
    <w:rsid w:val="005B2694"/>
    <w:rsid w:val="005B34A7"/>
    <w:rsid w:val="005B3B51"/>
    <w:rsid w:val="005B6308"/>
    <w:rsid w:val="005B6F5D"/>
    <w:rsid w:val="005B78C0"/>
    <w:rsid w:val="005B794A"/>
    <w:rsid w:val="005C0007"/>
    <w:rsid w:val="005C0800"/>
    <w:rsid w:val="005C501C"/>
    <w:rsid w:val="005C6007"/>
    <w:rsid w:val="005D25F4"/>
    <w:rsid w:val="005D44DE"/>
    <w:rsid w:val="005E07B5"/>
    <w:rsid w:val="005E14EA"/>
    <w:rsid w:val="005E37E4"/>
    <w:rsid w:val="005E7DC2"/>
    <w:rsid w:val="005F06B4"/>
    <w:rsid w:val="005F2437"/>
    <w:rsid w:val="005F6429"/>
    <w:rsid w:val="0060149B"/>
    <w:rsid w:val="00603C0B"/>
    <w:rsid w:val="00603C40"/>
    <w:rsid w:val="00604F2C"/>
    <w:rsid w:val="0061177D"/>
    <w:rsid w:val="00613F07"/>
    <w:rsid w:val="006144B1"/>
    <w:rsid w:val="00614C8E"/>
    <w:rsid w:val="0061719D"/>
    <w:rsid w:val="00625BB0"/>
    <w:rsid w:val="006264F9"/>
    <w:rsid w:val="0063042D"/>
    <w:rsid w:val="0063712B"/>
    <w:rsid w:val="006376B1"/>
    <w:rsid w:val="00644CCE"/>
    <w:rsid w:val="00644DE0"/>
    <w:rsid w:val="006511D9"/>
    <w:rsid w:val="0065341C"/>
    <w:rsid w:val="0065569A"/>
    <w:rsid w:val="00675CC3"/>
    <w:rsid w:val="0067753B"/>
    <w:rsid w:val="006818A9"/>
    <w:rsid w:val="00685125"/>
    <w:rsid w:val="0069325A"/>
    <w:rsid w:val="00693521"/>
    <w:rsid w:val="006A028D"/>
    <w:rsid w:val="006A1871"/>
    <w:rsid w:val="006A2B83"/>
    <w:rsid w:val="006A71A4"/>
    <w:rsid w:val="006B0F42"/>
    <w:rsid w:val="006B1CEE"/>
    <w:rsid w:val="006B22CA"/>
    <w:rsid w:val="006B3333"/>
    <w:rsid w:val="006B4A36"/>
    <w:rsid w:val="006B5F0D"/>
    <w:rsid w:val="006B69AF"/>
    <w:rsid w:val="006C14D0"/>
    <w:rsid w:val="006C3532"/>
    <w:rsid w:val="006C3646"/>
    <w:rsid w:val="006C43F6"/>
    <w:rsid w:val="006C468C"/>
    <w:rsid w:val="006C47C5"/>
    <w:rsid w:val="006C74BD"/>
    <w:rsid w:val="006C7A43"/>
    <w:rsid w:val="006D0F61"/>
    <w:rsid w:val="006E059F"/>
    <w:rsid w:val="006E1008"/>
    <w:rsid w:val="006E3474"/>
    <w:rsid w:val="006E5D87"/>
    <w:rsid w:val="006E6044"/>
    <w:rsid w:val="006E67C6"/>
    <w:rsid w:val="006F0F37"/>
    <w:rsid w:val="006F3586"/>
    <w:rsid w:val="006F3E4E"/>
    <w:rsid w:val="006F4161"/>
    <w:rsid w:val="006F467D"/>
    <w:rsid w:val="006F4F23"/>
    <w:rsid w:val="006F5251"/>
    <w:rsid w:val="00704F36"/>
    <w:rsid w:val="00706305"/>
    <w:rsid w:val="00707C87"/>
    <w:rsid w:val="007101DC"/>
    <w:rsid w:val="00710785"/>
    <w:rsid w:val="00712ADA"/>
    <w:rsid w:val="00714F0D"/>
    <w:rsid w:val="00720646"/>
    <w:rsid w:val="00720966"/>
    <w:rsid w:val="00724D6E"/>
    <w:rsid w:val="00730F3C"/>
    <w:rsid w:val="0073105C"/>
    <w:rsid w:val="00732EA4"/>
    <w:rsid w:val="00732EC4"/>
    <w:rsid w:val="00737EC8"/>
    <w:rsid w:val="00742D70"/>
    <w:rsid w:val="00742FCC"/>
    <w:rsid w:val="00744D37"/>
    <w:rsid w:val="00750BB3"/>
    <w:rsid w:val="00760958"/>
    <w:rsid w:val="00760962"/>
    <w:rsid w:val="007612CD"/>
    <w:rsid w:val="007614B8"/>
    <w:rsid w:val="0076271B"/>
    <w:rsid w:val="007631C2"/>
    <w:rsid w:val="0076399C"/>
    <w:rsid w:val="00766482"/>
    <w:rsid w:val="00770CD6"/>
    <w:rsid w:val="00771AAF"/>
    <w:rsid w:val="00771C9E"/>
    <w:rsid w:val="00772E2B"/>
    <w:rsid w:val="00772F06"/>
    <w:rsid w:val="007743BF"/>
    <w:rsid w:val="0077558B"/>
    <w:rsid w:val="007777BA"/>
    <w:rsid w:val="007825E1"/>
    <w:rsid w:val="00786FBA"/>
    <w:rsid w:val="0079394C"/>
    <w:rsid w:val="00794594"/>
    <w:rsid w:val="00794D94"/>
    <w:rsid w:val="00795ACE"/>
    <w:rsid w:val="007968ED"/>
    <w:rsid w:val="007A4304"/>
    <w:rsid w:val="007A68B6"/>
    <w:rsid w:val="007B0535"/>
    <w:rsid w:val="007B2221"/>
    <w:rsid w:val="007B2245"/>
    <w:rsid w:val="007B2710"/>
    <w:rsid w:val="007B4947"/>
    <w:rsid w:val="007B7B2D"/>
    <w:rsid w:val="007C0734"/>
    <w:rsid w:val="007D0380"/>
    <w:rsid w:val="007D3963"/>
    <w:rsid w:val="007D7A53"/>
    <w:rsid w:val="007E11EC"/>
    <w:rsid w:val="007E394A"/>
    <w:rsid w:val="007E403A"/>
    <w:rsid w:val="007F04BA"/>
    <w:rsid w:val="007F170E"/>
    <w:rsid w:val="007F179B"/>
    <w:rsid w:val="007F3DEC"/>
    <w:rsid w:val="007F4E83"/>
    <w:rsid w:val="007F7BA9"/>
    <w:rsid w:val="008030CE"/>
    <w:rsid w:val="00803D92"/>
    <w:rsid w:val="008045EC"/>
    <w:rsid w:val="008077CC"/>
    <w:rsid w:val="00812146"/>
    <w:rsid w:val="00820B5F"/>
    <w:rsid w:val="0082102A"/>
    <w:rsid w:val="008222EB"/>
    <w:rsid w:val="0082514B"/>
    <w:rsid w:val="0082538B"/>
    <w:rsid w:val="008256F3"/>
    <w:rsid w:val="00825F29"/>
    <w:rsid w:val="00826810"/>
    <w:rsid w:val="0082799A"/>
    <w:rsid w:val="00831976"/>
    <w:rsid w:val="008327C2"/>
    <w:rsid w:val="00832F5A"/>
    <w:rsid w:val="00840A49"/>
    <w:rsid w:val="008456B0"/>
    <w:rsid w:val="00853572"/>
    <w:rsid w:val="00853E2C"/>
    <w:rsid w:val="00855B09"/>
    <w:rsid w:val="008604DE"/>
    <w:rsid w:val="008607E6"/>
    <w:rsid w:val="00862CCD"/>
    <w:rsid w:val="00862EDA"/>
    <w:rsid w:val="0086687A"/>
    <w:rsid w:val="008712F3"/>
    <w:rsid w:val="00871DC9"/>
    <w:rsid w:val="0087349D"/>
    <w:rsid w:val="0087366C"/>
    <w:rsid w:val="00873991"/>
    <w:rsid w:val="00876B69"/>
    <w:rsid w:val="008820F7"/>
    <w:rsid w:val="0088360A"/>
    <w:rsid w:val="008848B1"/>
    <w:rsid w:val="008874B5"/>
    <w:rsid w:val="00887623"/>
    <w:rsid w:val="00887721"/>
    <w:rsid w:val="008905E2"/>
    <w:rsid w:val="008A4B6D"/>
    <w:rsid w:val="008A4C65"/>
    <w:rsid w:val="008A6EAA"/>
    <w:rsid w:val="008B06B0"/>
    <w:rsid w:val="008B2C2F"/>
    <w:rsid w:val="008B3514"/>
    <w:rsid w:val="008C01DD"/>
    <w:rsid w:val="008C060D"/>
    <w:rsid w:val="008C1B05"/>
    <w:rsid w:val="008C3F1E"/>
    <w:rsid w:val="008C5C9F"/>
    <w:rsid w:val="008C5E9F"/>
    <w:rsid w:val="008D2996"/>
    <w:rsid w:val="008D4310"/>
    <w:rsid w:val="008D704B"/>
    <w:rsid w:val="008E6F23"/>
    <w:rsid w:val="008F2655"/>
    <w:rsid w:val="008F5C0B"/>
    <w:rsid w:val="008F7C16"/>
    <w:rsid w:val="00900D93"/>
    <w:rsid w:val="0090245E"/>
    <w:rsid w:val="00906CE8"/>
    <w:rsid w:val="0090752E"/>
    <w:rsid w:val="00911057"/>
    <w:rsid w:val="00912B46"/>
    <w:rsid w:val="00913735"/>
    <w:rsid w:val="00913FE7"/>
    <w:rsid w:val="009177CF"/>
    <w:rsid w:val="00921301"/>
    <w:rsid w:val="00921714"/>
    <w:rsid w:val="00922638"/>
    <w:rsid w:val="0092286D"/>
    <w:rsid w:val="00923AEF"/>
    <w:rsid w:val="009305CC"/>
    <w:rsid w:val="009306C9"/>
    <w:rsid w:val="00931537"/>
    <w:rsid w:val="00931EDD"/>
    <w:rsid w:val="0094066A"/>
    <w:rsid w:val="00940AF3"/>
    <w:rsid w:val="00943CC7"/>
    <w:rsid w:val="00945F88"/>
    <w:rsid w:val="00946450"/>
    <w:rsid w:val="00951F71"/>
    <w:rsid w:val="009561CB"/>
    <w:rsid w:val="00957F6E"/>
    <w:rsid w:val="00961558"/>
    <w:rsid w:val="009655A5"/>
    <w:rsid w:val="009662A6"/>
    <w:rsid w:val="009706BD"/>
    <w:rsid w:val="009712B2"/>
    <w:rsid w:val="009712F9"/>
    <w:rsid w:val="00974220"/>
    <w:rsid w:val="00975462"/>
    <w:rsid w:val="009803C4"/>
    <w:rsid w:val="009808F3"/>
    <w:rsid w:val="00980B77"/>
    <w:rsid w:val="00980CE3"/>
    <w:rsid w:val="00982504"/>
    <w:rsid w:val="00985E67"/>
    <w:rsid w:val="00994DEB"/>
    <w:rsid w:val="009A0441"/>
    <w:rsid w:val="009A0D1C"/>
    <w:rsid w:val="009A3EF4"/>
    <w:rsid w:val="009A540A"/>
    <w:rsid w:val="009A5F13"/>
    <w:rsid w:val="009A7C5D"/>
    <w:rsid w:val="009B6F05"/>
    <w:rsid w:val="009B70F8"/>
    <w:rsid w:val="009C046A"/>
    <w:rsid w:val="009C12B7"/>
    <w:rsid w:val="009C3F9F"/>
    <w:rsid w:val="009C5E0A"/>
    <w:rsid w:val="009C752F"/>
    <w:rsid w:val="009D10BA"/>
    <w:rsid w:val="009D3AEF"/>
    <w:rsid w:val="009D6568"/>
    <w:rsid w:val="009D6A7E"/>
    <w:rsid w:val="009E2EC7"/>
    <w:rsid w:val="009E4885"/>
    <w:rsid w:val="009F0BF3"/>
    <w:rsid w:val="009F455F"/>
    <w:rsid w:val="009F618B"/>
    <w:rsid w:val="00A053FD"/>
    <w:rsid w:val="00A07BFB"/>
    <w:rsid w:val="00A12EB7"/>
    <w:rsid w:val="00A13EB0"/>
    <w:rsid w:val="00A20187"/>
    <w:rsid w:val="00A22C64"/>
    <w:rsid w:val="00A24130"/>
    <w:rsid w:val="00A241B8"/>
    <w:rsid w:val="00A27994"/>
    <w:rsid w:val="00A3160A"/>
    <w:rsid w:val="00A32C04"/>
    <w:rsid w:val="00A343B8"/>
    <w:rsid w:val="00A35155"/>
    <w:rsid w:val="00A41C60"/>
    <w:rsid w:val="00A41D3B"/>
    <w:rsid w:val="00A42A3A"/>
    <w:rsid w:val="00A43E09"/>
    <w:rsid w:val="00A45816"/>
    <w:rsid w:val="00A46976"/>
    <w:rsid w:val="00A51466"/>
    <w:rsid w:val="00A55F6B"/>
    <w:rsid w:val="00A66919"/>
    <w:rsid w:val="00A72475"/>
    <w:rsid w:val="00A8084C"/>
    <w:rsid w:val="00A80C9D"/>
    <w:rsid w:val="00A86128"/>
    <w:rsid w:val="00A87498"/>
    <w:rsid w:val="00A9176F"/>
    <w:rsid w:val="00A91C89"/>
    <w:rsid w:val="00A93259"/>
    <w:rsid w:val="00A94DC9"/>
    <w:rsid w:val="00A96E0E"/>
    <w:rsid w:val="00AA15D4"/>
    <w:rsid w:val="00AA2704"/>
    <w:rsid w:val="00AA2BA1"/>
    <w:rsid w:val="00AA4D41"/>
    <w:rsid w:val="00AA554E"/>
    <w:rsid w:val="00AA566E"/>
    <w:rsid w:val="00AA70C9"/>
    <w:rsid w:val="00AB1B06"/>
    <w:rsid w:val="00AB3C58"/>
    <w:rsid w:val="00AB3E99"/>
    <w:rsid w:val="00AB5C77"/>
    <w:rsid w:val="00AC0E46"/>
    <w:rsid w:val="00AC2B79"/>
    <w:rsid w:val="00AC3EE7"/>
    <w:rsid w:val="00AC7552"/>
    <w:rsid w:val="00AC7C4E"/>
    <w:rsid w:val="00AD5715"/>
    <w:rsid w:val="00AE0712"/>
    <w:rsid w:val="00AE0A71"/>
    <w:rsid w:val="00AE0A82"/>
    <w:rsid w:val="00AE22AD"/>
    <w:rsid w:val="00AE3E6B"/>
    <w:rsid w:val="00AF0A1A"/>
    <w:rsid w:val="00AF4FB4"/>
    <w:rsid w:val="00AF5B95"/>
    <w:rsid w:val="00B01B5E"/>
    <w:rsid w:val="00B02386"/>
    <w:rsid w:val="00B028A4"/>
    <w:rsid w:val="00B039E2"/>
    <w:rsid w:val="00B07123"/>
    <w:rsid w:val="00B07770"/>
    <w:rsid w:val="00B1323E"/>
    <w:rsid w:val="00B16444"/>
    <w:rsid w:val="00B2212D"/>
    <w:rsid w:val="00B22259"/>
    <w:rsid w:val="00B2286A"/>
    <w:rsid w:val="00B24AC3"/>
    <w:rsid w:val="00B25D1A"/>
    <w:rsid w:val="00B30D6D"/>
    <w:rsid w:val="00B327A9"/>
    <w:rsid w:val="00B328A0"/>
    <w:rsid w:val="00B34458"/>
    <w:rsid w:val="00B3659D"/>
    <w:rsid w:val="00B36DF2"/>
    <w:rsid w:val="00B422CC"/>
    <w:rsid w:val="00B43AF3"/>
    <w:rsid w:val="00B465C8"/>
    <w:rsid w:val="00B4794D"/>
    <w:rsid w:val="00B51BD8"/>
    <w:rsid w:val="00B535A5"/>
    <w:rsid w:val="00B54A20"/>
    <w:rsid w:val="00B56839"/>
    <w:rsid w:val="00B56C9F"/>
    <w:rsid w:val="00B60BAF"/>
    <w:rsid w:val="00B60F55"/>
    <w:rsid w:val="00B61243"/>
    <w:rsid w:val="00B64726"/>
    <w:rsid w:val="00B733C1"/>
    <w:rsid w:val="00B753F7"/>
    <w:rsid w:val="00B75FFC"/>
    <w:rsid w:val="00B81704"/>
    <w:rsid w:val="00B84A2D"/>
    <w:rsid w:val="00B901CF"/>
    <w:rsid w:val="00B91065"/>
    <w:rsid w:val="00B92309"/>
    <w:rsid w:val="00B93837"/>
    <w:rsid w:val="00B95C46"/>
    <w:rsid w:val="00B97926"/>
    <w:rsid w:val="00BA0FED"/>
    <w:rsid w:val="00BA1166"/>
    <w:rsid w:val="00BA12D1"/>
    <w:rsid w:val="00BA4154"/>
    <w:rsid w:val="00BA770B"/>
    <w:rsid w:val="00BB376C"/>
    <w:rsid w:val="00BB43CE"/>
    <w:rsid w:val="00BB7CAF"/>
    <w:rsid w:val="00BC17D3"/>
    <w:rsid w:val="00BC6784"/>
    <w:rsid w:val="00BC6D2E"/>
    <w:rsid w:val="00BC783E"/>
    <w:rsid w:val="00BC7985"/>
    <w:rsid w:val="00BC7B99"/>
    <w:rsid w:val="00BD7CC8"/>
    <w:rsid w:val="00BE3C2A"/>
    <w:rsid w:val="00BE6A1B"/>
    <w:rsid w:val="00BF6BA0"/>
    <w:rsid w:val="00C01419"/>
    <w:rsid w:val="00C04D19"/>
    <w:rsid w:val="00C12334"/>
    <w:rsid w:val="00C128D8"/>
    <w:rsid w:val="00C12C7F"/>
    <w:rsid w:val="00C16D10"/>
    <w:rsid w:val="00C1734F"/>
    <w:rsid w:val="00C22737"/>
    <w:rsid w:val="00C25226"/>
    <w:rsid w:val="00C2645E"/>
    <w:rsid w:val="00C307CB"/>
    <w:rsid w:val="00C35DDA"/>
    <w:rsid w:val="00C52D7B"/>
    <w:rsid w:val="00C578B8"/>
    <w:rsid w:val="00C631A6"/>
    <w:rsid w:val="00C633E1"/>
    <w:rsid w:val="00C63462"/>
    <w:rsid w:val="00C6557B"/>
    <w:rsid w:val="00C673BF"/>
    <w:rsid w:val="00C702DF"/>
    <w:rsid w:val="00C72FB2"/>
    <w:rsid w:val="00C751BE"/>
    <w:rsid w:val="00C77E7C"/>
    <w:rsid w:val="00C80867"/>
    <w:rsid w:val="00C85C12"/>
    <w:rsid w:val="00C904FC"/>
    <w:rsid w:val="00C92E31"/>
    <w:rsid w:val="00C934DD"/>
    <w:rsid w:val="00C944E0"/>
    <w:rsid w:val="00C952EE"/>
    <w:rsid w:val="00CA1797"/>
    <w:rsid w:val="00CA3F62"/>
    <w:rsid w:val="00CA47E9"/>
    <w:rsid w:val="00CA49E7"/>
    <w:rsid w:val="00CA538C"/>
    <w:rsid w:val="00CB0BCA"/>
    <w:rsid w:val="00CB4004"/>
    <w:rsid w:val="00CB705F"/>
    <w:rsid w:val="00CC050B"/>
    <w:rsid w:val="00CC08C2"/>
    <w:rsid w:val="00CD08F5"/>
    <w:rsid w:val="00CD2BEC"/>
    <w:rsid w:val="00CD36B5"/>
    <w:rsid w:val="00CD5476"/>
    <w:rsid w:val="00CD653D"/>
    <w:rsid w:val="00CD7F1C"/>
    <w:rsid w:val="00CE20E1"/>
    <w:rsid w:val="00CE227F"/>
    <w:rsid w:val="00CE2B45"/>
    <w:rsid w:val="00CE3400"/>
    <w:rsid w:val="00CE3E50"/>
    <w:rsid w:val="00CE58F8"/>
    <w:rsid w:val="00CE5F69"/>
    <w:rsid w:val="00CE6173"/>
    <w:rsid w:val="00CF5773"/>
    <w:rsid w:val="00CF620A"/>
    <w:rsid w:val="00D00449"/>
    <w:rsid w:val="00D00B34"/>
    <w:rsid w:val="00D06A9B"/>
    <w:rsid w:val="00D06BDE"/>
    <w:rsid w:val="00D11C10"/>
    <w:rsid w:val="00D11FF9"/>
    <w:rsid w:val="00D15173"/>
    <w:rsid w:val="00D160C8"/>
    <w:rsid w:val="00D17F21"/>
    <w:rsid w:val="00D206F3"/>
    <w:rsid w:val="00D20AD0"/>
    <w:rsid w:val="00D21194"/>
    <w:rsid w:val="00D21D7C"/>
    <w:rsid w:val="00D21EA3"/>
    <w:rsid w:val="00D250D2"/>
    <w:rsid w:val="00D308D4"/>
    <w:rsid w:val="00D31F45"/>
    <w:rsid w:val="00D34066"/>
    <w:rsid w:val="00D36ACF"/>
    <w:rsid w:val="00D4080D"/>
    <w:rsid w:val="00D50B25"/>
    <w:rsid w:val="00D57830"/>
    <w:rsid w:val="00D60A31"/>
    <w:rsid w:val="00D62454"/>
    <w:rsid w:val="00D62D0B"/>
    <w:rsid w:val="00D63C38"/>
    <w:rsid w:val="00D65DE2"/>
    <w:rsid w:val="00D71C08"/>
    <w:rsid w:val="00D73D90"/>
    <w:rsid w:val="00D7565E"/>
    <w:rsid w:val="00D76800"/>
    <w:rsid w:val="00D76A68"/>
    <w:rsid w:val="00D81BD6"/>
    <w:rsid w:val="00D82715"/>
    <w:rsid w:val="00D841EB"/>
    <w:rsid w:val="00D85617"/>
    <w:rsid w:val="00D932DA"/>
    <w:rsid w:val="00D961D5"/>
    <w:rsid w:val="00D97243"/>
    <w:rsid w:val="00DA2B04"/>
    <w:rsid w:val="00DB0F5D"/>
    <w:rsid w:val="00DB1CCB"/>
    <w:rsid w:val="00DB22F1"/>
    <w:rsid w:val="00DB3325"/>
    <w:rsid w:val="00DB3331"/>
    <w:rsid w:val="00DB35C9"/>
    <w:rsid w:val="00DB3681"/>
    <w:rsid w:val="00DB47C0"/>
    <w:rsid w:val="00DC03CB"/>
    <w:rsid w:val="00DC1F68"/>
    <w:rsid w:val="00DC2757"/>
    <w:rsid w:val="00DC3383"/>
    <w:rsid w:val="00DD1B91"/>
    <w:rsid w:val="00DD5F28"/>
    <w:rsid w:val="00DD67C7"/>
    <w:rsid w:val="00DD7E7D"/>
    <w:rsid w:val="00DD7FAC"/>
    <w:rsid w:val="00DE0FAE"/>
    <w:rsid w:val="00DF2709"/>
    <w:rsid w:val="00DF3E44"/>
    <w:rsid w:val="00DF5FCA"/>
    <w:rsid w:val="00DF6CBD"/>
    <w:rsid w:val="00E02440"/>
    <w:rsid w:val="00E05CB9"/>
    <w:rsid w:val="00E071A6"/>
    <w:rsid w:val="00E07EF0"/>
    <w:rsid w:val="00E140FB"/>
    <w:rsid w:val="00E159A4"/>
    <w:rsid w:val="00E16F29"/>
    <w:rsid w:val="00E17651"/>
    <w:rsid w:val="00E177B9"/>
    <w:rsid w:val="00E2004B"/>
    <w:rsid w:val="00E20A11"/>
    <w:rsid w:val="00E2100B"/>
    <w:rsid w:val="00E22D41"/>
    <w:rsid w:val="00E23C64"/>
    <w:rsid w:val="00E26874"/>
    <w:rsid w:val="00E302E2"/>
    <w:rsid w:val="00E306C4"/>
    <w:rsid w:val="00E46BA2"/>
    <w:rsid w:val="00E478B1"/>
    <w:rsid w:val="00E47A66"/>
    <w:rsid w:val="00E51198"/>
    <w:rsid w:val="00E53BD6"/>
    <w:rsid w:val="00E55F02"/>
    <w:rsid w:val="00E57F28"/>
    <w:rsid w:val="00E63BE5"/>
    <w:rsid w:val="00E66712"/>
    <w:rsid w:val="00E70D4A"/>
    <w:rsid w:val="00E722FC"/>
    <w:rsid w:val="00E722FD"/>
    <w:rsid w:val="00E763B4"/>
    <w:rsid w:val="00E804B1"/>
    <w:rsid w:val="00E8167D"/>
    <w:rsid w:val="00E83896"/>
    <w:rsid w:val="00E83DB9"/>
    <w:rsid w:val="00E841A1"/>
    <w:rsid w:val="00E845BD"/>
    <w:rsid w:val="00E8575E"/>
    <w:rsid w:val="00E85F54"/>
    <w:rsid w:val="00E869B2"/>
    <w:rsid w:val="00E91823"/>
    <w:rsid w:val="00E96CA5"/>
    <w:rsid w:val="00E96F80"/>
    <w:rsid w:val="00EA0870"/>
    <w:rsid w:val="00EA156E"/>
    <w:rsid w:val="00EA1EBB"/>
    <w:rsid w:val="00EA5EED"/>
    <w:rsid w:val="00EA62CD"/>
    <w:rsid w:val="00EA7AD8"/>
    <w:rsid w:val="00EB0525"/>
    <w:rsid w:val="00EB16F5"/>
    <w:rsid w:val="00EB5E1D"/>
    <w:rsid w:val="00EB6CBC"/>
    <w:rsid w:val="00EC0F75"/>
    <w:rsid w:val="00EC3519"/>
    <w:rsid w:val="00EC5E04"/>
    <w:rsid w:val="00ED017E"/>
    <w:rsid w:val="00ED3754"/>
    <w:rsid w:val="00ED6EF9"/>
    <w:rsid w:val="00ED71B4"/>
    <w:rsid w:val="00EE2D5E"/>
    <w:rsid w:val="00EE5C5D"/>
    <w:rsid w:val="00EE6C6A"/>
    <w:rsid w:val="00EF0AF5"/>
    <w:rsid w:val="00EF44B1"/>
    <w:rsid w:val="00EF6797"/>
    <w:rsid w:val="00EF7BDA"/>
    <w:rsid w:val="00F025E5"/>
    <w:rsid w:val="00F04798"/>
    <w:rsid w:val="00F04F67"/>
    <w:rsid w:val="00F06A14"/>
    <w:rsid w:val="00F078BA"/>
    <w:rsid w:val="00F10D5A"/>
    <w:rsid w:val="00F14A16"/>
    <w:rsid w:val="00F17DEB"/>
    <w:rsid w:val="00F211A6"/>
    <w:rsid w:val="00F2135F"/>
    <w:rsid w:val="00F2704F"/>
    <w:rsid w:val="00F2709A"/>
    <w:rsid w:val="00F32621"/>
    <w:rsid w:val="00F3354E"/>
    <w:rsid w:val="00F3365D"/>
    <w:rsid w:val="00F34301"/>
    <w:rsid w:val="00F36F75"/>
    <w:rsid w:val="00F37036"/>
    <w:rsid w:val="00F373E6"/>
    <w:rsid w:val="00F3770D"/>
    <w:rsid w:val="00F4075A"/>
    <w:rsid w:val="00F43971"/>
    <w:rsid w:val="00F513B9"/>
    <w:rsid w:val="00F5406B"/>
    <w:rsid w:val="00F60647"/>
    <w:rsid w:val="00F70C16"/>
    <w:rsid w:val="00F71BE3"/>
    <w:rsid w:val="00F73F80"/>
    <w:rsid w:val="00F750EC"/>
    <w:rsid w:val="00F756B8"/>
    <w:rsid w:val="00F80184"/>
    <w:rsid w:val="00F80D2C"/>
    <w:rsid w:val="00F82067"/>
    <w:rsid w:val="00F83809"/>
    <w:rsid w:val="00F84A20"/>
    <w:rsid w:val="00F86FEE"/>
    <w:rsid w:val="00F947C3"/>
    <w:rsid w:val="00F97A09"/>
    <w:rsid w:val="00FA134C"/>
    <w:rsid w:val="00FA1555"/>
    <w:rsid w:val="00FA35E9"/>
    <w:rsid w:val="00FA4B8C"/>
    <w:rsid w:val="00FB0BFA"/>
    <w:rsid w:val="00FB1D01"/>
    <w:rsid w:val="00FC1A19"/>
    <w:rsid w:val="00FC1E65"/>
    <w:rsid w:val="00FC2D9C"/>
    <w:rsid w:val="00FD37CD"/>
    <w:rsid w:val="00FD6554"/>
    <w:rsid w:val="00FE20F2"/>
    <w:rsid w:val="00FE5D2A"/>
    <w:rsid w:val="00FE5F54"/>
    <w:rsid w:val="00FE66DE"/>
    <w:rsid w:val="00FE72E4"/>
    <w:rsid w:val="00FF11B8"/>
    <w:rsid w:val="00FF4579"/>
    <w:rsid w:val="00FF70A6"/>
    <w:rsid w:val="05E40733"/>
    <w:rsid w:val="07700D26"/>
    <w:rsid w:val="07C17B6D"/>
    <w:rsid w:val="09F00295"/>
    <w:rsid w:val="0A6749FB"/>
    <w:rsid w:val="10D10E21"/>
    <w:rsid w:val="182D4A9A"/>
    <w:rsid w:val="18DA6CE0"/>
    <w:rsid w:val="195F2D42"/>
    <w:rsid w:val="1AD11A1D"/>
    <w:rsid w:val="1AFD2812"/>
    <w:rsid w:val="1B5A1A13"/>
    <w:rsid w:val="1BBE6445"/>
    <w:rsid w:val="1C35495A"/>
    <w:rsid w:val="1F325180"/>
    <w:rsid w:val="2072358F"/>
    <w:rsid w:val="22EC5646"/>
    <w:rsid w:val="26154EB4"/>
    <w:rsid w:val="27E014F2"/>
    <w:rsid w:val="291122AA"/>
    <w:rsid w:val="2B093180"/>
    <w:rsid w:val="2BB65E08"/>
    <w:rsid w:val="2C39272D"/>
    <w:rsid w:val="2E876B6B"/>
    <w:rsid w:val="32221084"/>
    <w:rsid w:val="32BF671A"/>
    <w:rsid w:val="338D64EF"/>
    <w:rsid w:val="34881380"/>
    <w:rsid w:val="34D348B8"/>
    <w:rsid w:val="39B86E7B"/>
    <w:rsid w:val="3AA55567"/>
    <w:rsid w:val="3B677B08"/>
    <w:rsid w:val="3D595B76"/>
    <w:rsid w:val="3E063608"/>
    <w:rsid w:val="3E781704"/>
    <w:rsid w:val="3E7C1B1C"/>
    <w:rsid w:val="3ED93E80"/>
    <w:rsid w:val="3F081602"/>
    <w:rsid w:val="3FA7706D"/>
    <w:rsid w:val="402B37FA"/>
    <w:rsid w:val="403C77B5"/>
    <w:rsid w:val="40ED6A3A"/>
    <w:rsid w:val="446E0159"/>
    <w:rsid w:val="455703F5"/>
    <w:rsid w:val="45C269AF"/>
    <w:rsid w:val="46DC584E"/>
    <w:rsid w:val="473E37A8"/>
    <w:rsid w:val="474F447F"/>
    <w:rsid w:val="47DE73A4"/>
    <w:rsid w:val="48BB6ACA"/>
    <w:rsid w:val="4E061402"/>
    <w:rsid w:val="4EFE0E48"/>
    <w:rsid w:val="51A44626"/>
    <w:rsid w:val="55760C1C"/>
    <w:rsid w:val="5592507E"/>
    <w:rsid w:val="562F6C39"/>
    <w:rsid w:val="59F82547"/>
    <w:rsid w:val="5CFC234E"/>
    <w:rsid w:val="5D0D6309"/>
    <w:rsid w:val="5DE828D3"/>
    <w:rsid w:val="6118702B"/>
    <w:rsid w:val="617E5CC7"/>
    <w:rsid w:val="61A84853"/>
    <w:rsid w:val="64FD4EB5"/>
    <w:rsid w:val="66630D48"/>
    <w:rsid w:val="668A09CB"/>
    <w:rsid w:val="680F53E3"/>
    <w:rsid w:val="68464DC5"/>
    <w:rsid w:val="6A86594D"/>
    <w:rsid w:val="6C4235A9"/>
    <w:rsid w:val="6E1A69B7"/>
    <w:rsid w:val="6F8A37EA"/>
    <w:rsid w:val="6F9C351D"/>
    <w:rsid w:val="6FA7439C"/>
    <w:rsid w:val="70DF6C4D"/>
    <w:rsid w:val="72444124"/>
    <w:rsid w:val="74092A50"/>
    <w:rsid w:val="77387FCF"/>
    <w:rsid w:val="77DA4BE2"/>
    <w:rsid w:val="78C80EDF"/>
    <w:rsid w:val="79024398"/>
    <w:rsid w:val="797F0137"/>
    <w:rsid w:val="7A434CC1"/>
    <w:rsid w:val="7A8377B3"/>
    <w:rsid w:val="7B713AB0"/>
    <w:rsid w:val="7C63596C"/>
    <w:rsid w:val="7C647170"/>
    <w:rsid w:val="7CE3278B"/>
    <w:rsid w:val="7D5D71FE"/>
    <w:rsid w:val="7DE22A43"/>
    <w:rsid w:val="7E551467"/>
    <w:rsid w:val="7E6D54B9"/>
    <w:rsid w:val="7EF742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25pt" color="#000000" dashstyle="longDashDot"/>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39" w:semiHidden="0" w:name="toc 2"/>
    <w:lsdException w:qFormat="1" w:unhideWhenUsed="0" w:uiPriority="39"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right"/>
      <w:outlineLvl w:val="0"/>
    </w:pPr>
    <w:rPr>
      <w:outline/>
      <w:sz w:val="84"/>
    </w:rPr>
  </w:style>
  <w:style w:type="paragraph" w:styleId="4">
    <w:name w:val="heading 2"/>
    <w:basedOn w:val="1"/>
    <w:next w:val="1"/>
    <w:link w:val="74"/>
    <w:qFormat/>
    <w:uiPriority w:val="0"/>
    <w:pPr>
      <w:keepNext/>
      <w:jc w:val="center"/>
      <w:outlineLvl w:val="1"/>
    </w:pPr>
    <w:rPr>
      <w:sz w:val="28"/>
    </w:rPr>
  </w:style>
  <w:style w:type="paragraph" w:styleId="5">
    <w:name w:val="heading 3"/>
    <w:basedOn w:val="1"/>
    <w:next w:val="1"/>
    <w:qFormat/>
    <w:uiPriority w:val="0"/>
    <w:pPr>
      <w:keepNext/>
      <w:outlineLvl w:val="2"/>
    </w:pPr>
    <w:rPr>
      <w:sz w:val="28"/>
    </w:rPr>
  </w:style>
  <w:style w:type="paragraph" w:styleId="6">
    <w:name w:val="heading 4"/>
    <w:basedOn w:val="1"/>
    <w:next w:val="1"/>
    <w:qFormat/>
    <w:uiPriority w:val="0"/>
    <w:pPr>
      <w:keepNext/>
      <w:ind w:firstLine="1620" w:firstLineChars="675"/>
      <w:outlineLvl w:val="3"/>
    </w:pPr>
    <w:rPr>
      <w:i/>
      <w:iCs/>
      <w:sz w:val="24"/>
    </w:rPr>
  </w:style>
  <w:style w:type="paragraph" w:styleId="7">
    <w:name w:val="heading 7"/>
    <w:basedOn w:val="1"/>
    <w:next w:val="1"/>
    <w:qFormat/>
    <w:uiPriority w:val="0"/>
    <w:pPr>
      <w:keepNext/>
      <w:keepLines/>
      <w:spacing w:before="240" w:after="64" w:line="320" w:lineRule="auto"/>
      <w:outlineLvl w:val="6"/>
    </w:pPr>
    <w:rPr>
      <w:b/>
      <w:bCs/>
      <w:sz w:val="24"/>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85"/>
    <w:qFormat/>
    <w:uiPriority w:val="0"/>
    <w:pPr>
      <w:spacing w:before="240" w:after="60"/>
      <w:jc w:val="center"/>
      <w:outlineLvl w:val="0"/>
    </w:pPr>
    <w:rPr>
      <w:rFonts w:asciiTheme="majorHAnsi" w:hAnsiTheme="majorHAnsi" w:cstheme="majorBidi"/>
      <w:b/>
      <w:bCs/>
      <w:sz w:val="32"/>
      <w:szCs w:val="32"/>
    </w:rPr>
  </w:style>
  <w:style w:type="paragraph" w:styleId="8">
    <w:name w:val="Normal Indent"/>
    <w:basedOn w:val="1"/>
    <w:qFormat/>
    <w:uiPriority w:val="0"/>
    <w:pPr>
      <w:ind w:firstLine="420"/>
    </w:pPr>
    <w:rPr>
      <w:szCs w:val="20"/>
    </w:rPr>
  </w:style>
  <w:style w:type="paragraph" w:styleId="9">
    <w:name w:val="caption"/>
    <w:basedOn w:val="1"/>
    <w:next w:val="1"/>
    <w:qFormat/>
    <w:uiPriority w:val="0"/>
    <w:rPr>
      <w:rFonts w:ascii="Arial" w:hAnsi="Arial" w:eastAsia="黑体" w:cs="Arial"/>
      <w:sz w:val="20"/>
      <w:szCs w:val="20"/>
    </w:rPr>
  </w:style>
  <w:style w:type="paragraph" w:styleId="10">
    <w:name w:val="annotation text"/>
    <w:basedOn w:val="1"/>
    <w:link w:val="38"/>
    <w:semiHidden/>
    <w:qFormat/>
    <w:uiPriority w:val="0"/>
    <w:pPr>
      <w:adjustRightInd w:val="0"/>
      <w:spacing w:line="310" w:lineRule="exact"/>
      <w:jc w:val="left"/>
    </w:pPr>
    <w:rPr>
      <w:szCs w:val="20"/>
    </w:rPr>
  </w:style>
  <w:style w:type="paragraph" w:styleId="11">
    <w:name w:val="Salutation"/>
    <w:basedOn w:val="1"/>
    <w:next w:val="1"/>
    <w:qFormat/>
    <w:uiPriority w:val="0"/>
  </w:style>
  <w:style w:type="paragraph" w:styleId="12">
    <w:name w:val="Body Text"/>
    <w:basedOn w:val="1"/>
    <w:link w:val="77"/>
    <w:qFormat/>
    <w:uiPriority w:val="0"/>
    <w:rPr>
      <w:sz w:val="24"/>
    </w:rPr>
  </w:style>
  <w:style w:type="paragraph" w:styleId="13">
    <w:name w:val="Body Text Indent"/>
    <w:basedOn w:val="1"/>
    <w:qFormat/>
    <w:uiPriority w:val="0"/>
    <w:pPr>
      <w:ind w:firstLine="420"/>
    </w:pPr>
    <w:rPr>
      <w:sz w:val="24"/>
    </w:rPr>
  </w:style>
  <w:style w:type="paragraph" w:styleId="14">
    <w:name w:val="Block Text"/>
    <w:basedOn w:val="1"/>
    <w:qFormat/>
    <w:uiPriority w:val="0"/>
    <w:pPr>
      <w:widowControl/>
      <w:ind w:left="-107" w:leftChars="-51" w:right="-92" w:rightChars="-44"/>
      <w:jc w:val="center"/>
    </w:pPr>
    <w:rPr>
      <w:sz w:val="18"/>
      <w:szCs w:val="20"/>
    </w:rPr>
  </w:style>
  <w:style w:type="paragraph" w:styleId="15">
    <w:name w:val="toc 3"/>
    <w:basedOn w:val="1"/>
    <w:next w:val="1"/>
    <w:qFormat/>
    <w:uiPriority w:val="39"/>
    <w:pPr>
      <w:ind w:left="840" w:leftChars="400"/>
    </w:pPr>
  </w:style>
  <w:style w:type="paragraph" w:styleId="16">
    <w:name w:val="Plain Text"/>
    <w:basedOn w:val="1"/>
    <w:qFormat/>
    <w:uiPriority w:val="0"/>
    <w:rPr>
      <w:rFonts w:ascii="宋体" w:hAnsi="Courier New"/>
      <w:szCs w:val="20"/>
    </w:rPr>
  </w:style>
  <w:style w:type="paragraph" w:styleId="17">
    <w:name w:val="Date"/>
    <w:basedOn w:val="1"/>
    <w:next w:val="1"/>
    <w:qFormat/>
    <w:uiPriority w:val="0"/>
    <w:pPr>
      <w:ind w:left="100" w:leftChars="2500"/>
    </w:pPr>
    <w:rPr>
      <w:sz w:val="24"/>
    </w:rPr>
  </w:style>
  <w:style w:type="paragraph" w:styleId="18">
    <w:name w:val="Body Text Indent 2"/>
    <w:basedOn w:val="1"/>
    <w:qFormat/>
    <w:uiPriority w:val="0"/>
    <w:pPr>
      <w:spacing w:line="0" w:lineRule="atLeast"/>
      <w:ind w:firstLine="425"/>
    </w:pPr>
    <w:rPr>
      <w:bCs/>
      <w:szCs w:val="20"/>
    </w:r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qFormat/>
    <w:uiPriority w:val="0"/>
  </w:style>
  <w:style w:type="paragraph" w:styleId="23">
    <w:name w:val="toc 4"/>
    <w:basedOn w:val="1"/>
    <w:next w:val="1"/>
    <w:semiHidden/>
    <w:qFormat/>
    <w:uiPriority w:val="0"/>
    <w:pPr>
      <w:ind w:left="1260" w:leftChars="600"/>
    </w:pPr>
  </w:style>
  <w:style w:type="paragraph" w:styleId="24">
    <w:name w:val="Body Text Indent 3"/>
    <w:basedOn w:val="1"/>
    <w:qFormat/>
    <w:uiPriority w:val="0"/>
    <w:pPr>
      <w:spacing w:line="0" w:lineRule="atLeast"/>
      <w:ind w:firstLine="325"/>
    </w:pPr>
    <w:rPr>
      <w:sz w:val="24"/>
    </w:rPr>
  </w:style>
  <w:style w:type="paragraph" w:styleId="25">
    <w:name w:val="toc 2"/>
    <w:basedOn w:val="1"/>
    <w:next w:val="1"/>
    <w:qFormat/>
    <w:uiPriority w:val="39"/>
    <w:pPr>
      <w:tabs>
        <w:tab w:val="left" w:pos="540"/>
        <w:tab w:val="right" w:leader="dot" w:pos="9174"/>
      </w:tabs>
    </w:pPr>
  </w:style>
  <w:style w:type="paragraph" w:styleId="26">
    <w:name w:val="Body Text 2"/>
    <w:basedOn w:val="1"/>
    <w:qFormat/>
    <w:uiPriority w:val="0"/>
    <w:pPr>
      <w:jc w:val="center"/>
    </w:pPr>
  </w:style>
  <w:style w:type="paragraph" w:styleId="27">
    <w:name w:val="Normal (Web)"/>
    <w:basedOn w:val="1"/>
    <w:qFormat/>
    <w:uiPriority w:val="0"/>
    <w:rPr>
      <w:sz w:val="24"/>
    </w:rPr>
  </w:style>
  <w:style w:type="paragraph" w:styleId="28">
    <w:name w:val="annotation subject"/>
    <w:basedOn w:val="10"/>
    <w:next w:val="10"/>
    <w:link w:val="41"/>
    <w:qFormat/>
    <w:uiPriority w:val="0"/>
    <w:pPr>
      <w:adjustRightInd/>
      <w:spacing w:line="240" w:lineRule="auto"/>
    </w:pPr>
    <w:rPr>
      <w:b/>
      <w:bCs/>
      <w:szCs w:val="24"/>
    </w:rPr>
  </w:style>
  <w:style w:type="paragraph" w:styleId="29">
    <w:name w:val="Body Text First Indent"/>
    <w:basedOn w:val="12"/>
    <w:link w:val="78"/>
    <w:qFormat/>
    <w:uiPriority w:val="0"/>
    <w:pPr>
      <w:spacing w:after="120"/>
      <w:ind w:firstLine="420" w:firstLineChars="100"/>
    </w:pPr>
    <w:rPr>
      <w:sz w:val="21"/>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qFormat/>
    <w:uiPriority w:val="22"/>
    <w:rPr>
      <w:b/>
      <w:bCs/>
    </w:rPr>
  </w:style>
  <w:style w:type="character" w:styleId="34">
    <w:name w:val="page number"/>
    <w:basedOn w:val="32"/>
    <w:qFormat/>
    <w:uiPriority w:val="0"/>
  </w:style>
  <w:style w:type="character" w:styleId="35">
    <w:name w:val="FollowedHyperlink"/>
    <w:basedOn w:val="32"/>
    <w:qFormat/>
    <w:uiPriority w:val="0"/>
    <w:rPr>
      <w:color w:val="800080"/>
      <w:u w:val="single"/>
    </w:rPr>
  </w:style>
  <w:style w:type="character" w:styleId="36">
    <w:name w:val="Hyperlink"/>
    <w:basedOn w:val="32"/>
    <w:qFormat/>
    <w:uiPriority w:val="99"/>
    <w:rPr>
      <w:color w:val="0000FF"/>
      <w:u w:val="single"/>
    </w:rPr>
  </w:style>
  <w:style w:type="character" w:styleId="37">
    <w:name w:val="annotation reference"/>
    <w:basedOn w:val="32"/>
    <w:semiHidden/>
    <w:qFormat/>
    <w:uiPriority w:val="0"/>
    <w:rPr>
      <w:sz w:val="21"/>
      <w:szCs w:val="21"/>
    </w:rPr>
  </w:style>
  <w:style w:type="character" w:customStyle="1" w:styleId="38">
    <w:name w:val="批注文字 Char"/>
    <w:basedOn w:val="32"/>
    <w:link w:val="10"/>
    <w:semiHidden/>
    <w:qFormat/>
    <w:uiPriority w:val="0"/>
    <w:rPr>
      <w:kern w:val="2"/>
      <w:sz w:val="21"/>
    </w:rPr>
  </w:style>
  <w:style w:type="character" w:customStyle="1" w:styleId="39">
    <w:name w:val="hps"/>
    <w:basedOn w:val="32"/>
    <w:qFormat/>
    <w:uiPriority w:val="0"/>
  </w:style>
  <w:style w:type="character" w:customStyle="1" w:styleId="40">
    <w:name w:val="subtitle1"/>
    <w:basedOn w:val="32"/>
    <w:qFormat/>
    <w:uiPriority w:val="0"/>
    <w:rPr>
      <w:b/>
      <w:bCs/>
      <w:color w:val="D12B2C"/>
      <w:sz w:val="23"/>
      <w:szCs w:val="23"/>
    </w:rPr>
  </w:style>
  <w:style w:type="character" w:customStyle="1" w:styleId="41">
    <w:name w:val="批注主题 Char"/>
    <w:basedOn w:val="38"/>
    <w:link w:val="28"/>
    <w:qFormat/>
    <w:uiPriority w:val="0"/>
    <w:rPr>
      <w:kern w:val="2"/>
      <w:sz w:val="21"/>
    </w:rPr>
  </w:style>
  <w:style w:type="character" w:customStyle="1" w:styleId="42">
    <w:name w:val="short_text"/>
    <w:basedOn w:val="32"/>
    <w:qFormat/>
    <w:uiPriority w:val="0"/>
  </w:style>
  <w:style w:type="character" w:customStyle="1" w:styleId="43">
    <w:name w:val="bluetxt1"/>
    <w:basedOn w:val="32"/>
    <w:qFormat/>
    <w:uiPriority w:val="0"/>
  </w:style>
  <w:style w:type="paragraph" w:customStyle="1" w:styleId="44">
    <w:name w:val="正文1"/>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5">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46">
    <w:name w:val="标准书脚_奇数页"/>
    <w:qFormat/>
    <w:uiPriority w:val="0"/>
    <w:pPr>
      <w:jc w:val="right"/>
    </w:pPr>
    <w:rPr>
      <w:rFonts w:ascii="宋体" w:hAnsi="Times New Roman" w:eastAsia="宋体" w:cs="Times New Roman"/>
      <w:sz w:val="18"/>
      <w:lang w:val="en-US" w:eastAsia="zh-CN" w:bidi="ar-SA"/>
    </w:rPr>
  </w:style>
  <w:style w:type="paragraph" w:customStyle="1" w:styleId="47">
    <w:name w:val="标准文件_章标题"/>
    <w:next w:val="45"/>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8">
    <w:name w:val="标准文件_一级条标题"/>
    <w:basedOn w:val="47"/>
    <w:next w:val="45"/>
    <w:qFormat/>
    <w:uiPriority w:val="0"/>
    <w:pPr>
      <w:numPr>
        <w:ilvl w:val="2"/>
      </w:numPr>
      <w:spacing w:beforeLines="0" w:afterLines="0"/>
      <w:outlineLvl w:val="2"/>
    </w:pPr>
  </w:style>
  <w:style w:type="paragraph" w:customStyle="1" w:styleId="4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50">
    <w:name w:val="标准文件_二级条标题"/>
    <w:basedOn w:val="48"/>
    <w:next w:val="45"/>
    <w:qFormat/>
    <w:uiPriority w:val="0"/>
    <w:pPr>
      <w:numPr>
        <w:ilvl w:val="3"/>
      </w:numPr>
      <w:outlineLvl w:val="3"/>
    </w:pPr>
  </w:style>
  <w:style w:type="paragraph" w:customStyle="1" w:styleId="51">
    <w:name w:val="标准文件_四级条标题"/>
    <w:basedOn w:val="52"/>
    <w:next w:val="45"/>
    <w:qFormat/>
    <w:uiPriority w:val="0"/>
    <w:pPr>
      <w:numPr>
        <w:ilvl w:val="5"/>
      </w:numPr>
      <w:outlineLvl w:val="5"/>
    </w:pPr>
  </w:style>
  <w:style w:type="paragraph" w:customStyle="1" w:styleId="52">
    <w:name w:val="标准文件_三级条标题"/>
    <w:basedOn w:val="50"/>
    <w:next w:val="45"/>
    <w:qFormat/>
    <w:uiPriority w:val="0"/>
    <w:pPr>
      <w:numPr>
        <w:ilvl w:val="4"/>
      </w:numPr>
      <w:outlineLvl w:val="4"/>
    </w:pPr>
  </w:style>
  <w:style w:type="paragraph" w:customStyle="1" w:styleId="53">
    <w:name w:val="标准文件_附录标识"/>
    <w:next w:val="12"/>
    <w:qFormat/>
    <w:uiPriority w:val="0"/>
    <w:pPr>
      <w:numPr>
        <w:ilvl w:val="0"/>
        <w:numId w:val="2"/>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54">
    <w:name w:val="标准文件_附录二级条标题"/>
    <w:basedOn w:val="55"/>
    <w:next w:val="1"/>
    <w:qFormat/>
    <w:uiPriority w:val="0"/>
    <w:pPr>
      <w:numPr>
        <w:ilvl w:val="3"/>
      </w:numPr>
      <w:ind w:left="0" w:leftChars="0"/>
      <w:outlineLvl w:val="3"/>
    </w:pPr>
  </w:style>
  <w:style w:type="paragraph" w:customStyle="1" w:styleId="55">
    <w:name w:val="标准文件_附录一级条标题"/>
    <w:basedOn w:val="56"/>
    <w:next w:val="1"/>
    <w:qFormat/>
    <w:uiPriority w:val="0"/>
    <w:pPr>
      <w:numPr>
        <w:ilvl w:val="2"/>
      </w:numPr>
      <w:autoSpaceDN w:val="0"/>
      <w:spacing w:beforeLines="0" w:afterLines="0"/>
      <w:ind w:left="-50"/>
      <w:outlineLvl w:val="2"/>
    </w:pPr>
    <w:rPr>
      <w:spacing w:val="2"/>
    </w:rPr>
  </w:style>
  <w:style w:type="paragraph" w:customStyle="1" w:styleId="56">
    <w:name w:val="标准文件_附录章标题"/>
    <w:next w:val="1"/>
    <w:qFormat/>
    <w:uiPriority w:val="0"/>
    <w:pPr>
      <w:numPr>
        <w:ilvl w:val="1"/>
        <w:numId w:val="2"/>
      </w:numPr>
      <w:wordWrap w:val="0"/>
      <w:overflowPunct w:val="0"/>
      <w:autoSpaceDE w:val="0"/>
      <w:spacing w:beforeLines="50" w:afterLines="50"/>
      <w:ind w:left="-50" w:leftChars="-50"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57">
    <w:name w:val="Char Char Char Char"/>
    <w:basedOn w:val="1"/>
    <w:next w:val="1"/>
    <w:qFormat/>
    <w:uiPriority w:val="0"/>
    <w:pPr>
      <w:spacing w:line="360" w:lineRule="auto"/>
      <w:jc w:val="left"/>
    </w:pPr>
    <w:rPr>
      <w:sz w:val="28"/>
    </w:rPr>
  </w:style>
  <w:style w:type="paragraph" w:customStyle="1" w:styleId="58">
    <w:name w:val="标准文件_五级条标题"/>
    <w:basedOn w:val="51"/>
    <w:next w:val="45"/>
    <w:qFormat/>
    <w:uiPriority w:val="0"/>
    <w:pPr>
      <w:numPr>
        <w:ilvl w:val="6"/>
      </w:numPr>
      <w:outlineLvl w:val="6"/>
    </w:pPr>
  </w:style>
  <w:style w:type="paragraph" w:customStyle="1" w:styleId="59">
    <w:name w:val="标准文件_正文表标题"/>
    <w:next w:val="45"/>
    <w:qFormat/>
    <w:uiPriority w:val="0"/>
    <w:pPr>
      <w:numPr>
        <w:ilvl w:val="0"/>
        <w:numId w:val="3"/>
      </w:numPr>
      <w:tabs>
        <w:tab w:val="left" w:pos="0"/>
      </w:tabs>
      <w:jc w:val="center"/>
    </w:pPr>
    <w:rPr>
      <w:rFonts w:ascii="黑体" w:hAnsi="Times New Roman" w:eastAsia="黑体" w:cs="Times New Roman"/>
      <w:sz w:val="21"/>
      <w:lang w:val="en-US" w:eastAsia="zh-CN" w:bidi="ar-SA"/>
    </w:rPr>
  </w:style>
  <w:style w:type="paragraph" w:styleId="60">
    <w:name w:val="List Paragraph"/>
    <w:basedOn w:val="1"/>
    <w:qFormat/>
    <w:uiPriority w:val="0"/>
    <w:pPr>
      <w:ind w:firstLine="420" w:firstLineChars="200"/>
    </w:pPr>
    <w:rPr>
      <w:rFonts w:ascii="Calibri" w:hAnsi="Calibri"/>
      <w:szCs w:val="22"/>
    </w:rPr>
  </w:style>
  <w:style w:type="paragraph" w:customStyle="1" w:styleId="61">
    <w:name w:val="标准文件_字母编号列项"/>
    <w:qFormat/>
    <w:uiPriority w:val="0"/>
    <w:pPr>
      <w:spacing w:line="300" w:lineRule="exact"/>
      <w:ind w:left="370" w:leftChars="170" w:right="-50" w:rightChars="-50" w:hanging="200" w:hangingChars="200"/>
      <w:jc w:val="both"/>
    </w:pPr>
    <w:rPr>
      <w:rFonts w:ascii="宋体" w:hAnsi="Times New Roman" w:eastAsia="宋体" w:cs="Times New Roman"/>
      <w:sz w:val="21"/>
      <w:lang w:val="en-US" w:eastAsia="zh-CN" w:bidi="ar-SA"/>
    </w:rPr>
  </w:style>
  <w:style w:type="paragraph" w:customStyle="1" w:styleId="62">
    <w:name w:val="正文 + 黑体"/>
    <w:basedOn w:val="1"/>
    <w:qFormat/>
    <w:uiPriority w:val="0"/>
    <w:pPr>
      <w:jc w:val="center"/>
    </w:pPr>
    <w:rPr>
      <w:rFonts w:ascii="黑体" w:eastAsia="黑体"/>
      <w:sz w:val="44"/>
      <w:szCs w:val="44"/>
    </w:rPr>
  </w:style>
  <w:style w:type="paragraph" w:customStyle="1" w:styleId="63">
    <w:name w:val="一级标题"/>
    <w:basedOn w:val="3"/>
    <w:next w:val="1"/>
    <w:qFormat/>
    <w:uiPriority w:val="0"/>
    <w:pPr>
      <w:adjustRightInd w:val="0"/>
      <w:spacing w:beforeLines="100" w:afterLines="100" w:line="420" w:lineRule="exact"/>
      <w:ind w:firstLine="3784" w:firstLineChars="860"/>
      <w:jc w:val="left"/>
      <w:textAlignment w:val="baseline"/>
    </w:pPr>
    <w:rPr>
      <w:rFonts w:ascii="黑体" w:hAnsi="宋体" w:eastAsia="黑体"/>
      <w:outline w:val="0"/>
      <w:kern w:val="0"/>
      <w:sz w:val="44"/>
      <w:szCs w:val="44"/>
    </w:rPr>
  </w:style>
  <w:style w:type="paragraph" w:customStyle="1" w:styleId="64">
    <w:name w:val="标准文件_正文图标题"/>
    <w:next w:val="45"/>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65">
    <w:name w:val="标准文件_附录五级条标题"/>
    <w:basedOn w:val="66"/>
    <w:next w:val="1"/>
    <w:qFormat/>
    <w:uiPriority w:val="0"/>
    <w:pPr>
      <w:numPr>
        <w:ilvl w:val="6"/>
      </w:numPr>
      <w:outlineLvl w:val="6"/>
    </w:pPr>
  </w:style>
  <w:style w:type="paragraph" w:customStyle="1" w:styleId="66">
    <w:name w:val="标准文件_附录四级条标题"/>
    <w:basedOn w:val="67"/>
    <w:next w:val="1"/>
    <w:qFormat/>
    <w:uiPriority w:val="0"/>
    <w:pPr>
      <w:numPr>
        <w:ilvl w:val="5"/>
      </w:numPr>
      <w:outlineLvl w:val="5"/>
    </w:pPr>
  </w:style>
  <w:style w:type="paragraph" w:customStyle="1" w:styleId="67">
    <w:name w:val="标准文件_附录三级条标题"/>
    <w:basedOn w:val="54"/>
    <w:next w:val="1"/>
    <w:qFormat/>
    <w:uiPriority w:val="0"/>
    <w:pPr>
      <w:numPr>
        <w:ilvl w:val="4"/>
      </w:numPr>
      <w:outlineLvl w:val="4"/>
    </w:pPr>
  </w:style>
  <w:style w:type="paragraph" w:customStyle="1" w:styleId="68">
    <w:name w:val="标准文件_数字编号列项"/>
    <w:qFormat/>
    <w:uiPriority w:val="0"/>
    <w:pPr>
      <w:ind w:left="550" w:leftChars="350" w:right="-50" w:rightChars="-50" w:hanging="200" w:hangingChars="200"/>
      <w:jc w:val="both"/>
    </w:pPr>
    <w:rPr>
      <w:rFonts w:ascii="宋体" w:hAnsi="Times New Roman" w:eastAsia="宋体" w:cs="Times New Roman"/>
      <w:sz w:val="21"/>
      <w:lang w:val="en-US" w:eastAsia="zh-CN" w:bidi="ar-SA"/>
    </w:rPr>
  </w:style>
  <w:style w:type="paragraph" w:customStyle="1" w:styleId="69">
    <w:name w:val="Subsection"/>
    <w:basedOn w:val="1"/>
    <w:qFormat/>
    <w:uiPriority w:val="0"/>
    <w:pPr>
      <w:widowControl/>
      <w:ind w:firstLine="284"/>
      <w:outlineLvl w:val="0"/>
    </w:pPr>
    <w:rPr>
      <w:i/>
      <w:iCs/>
      <w:kern w:val="0"/>
      <w:sz w:val="20"/>
      <w:lang w:val="en-GB" w:eastAsia="hr-HR"/>
    </w:rPr>
  </w:style>
  <w:style w:type="paragraph" w:customStyle="1" w:styleId="70">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71">
    <w:name w:val="SPIE reference listing"/>
    <w:basedOn w:val="1"/>
    <w:qFormat/>
    <w:uiPriority w:val="0"/>
    <w:pPr>
      <w:widowControl/>
      <w:numPr>
        <w:ilvl w:val="0"/>
        <w:numId w:val="5"/>
      </w:numPr>
    </w:pPr>
    <w:rPr>
      <w:kern w:val="0"/>
      <w:sz w:val="20"/>
      <w:szCs w:val="20"/>
      <w:lang w:eastAsia="en-US"/>
    </w:rPr>
  </w:style>
  <w:style w:type="paragraph" w:customStyle="1" w:styleId="72">
    <w:name w:val="TOC 标题1"/>
    <w:basedOn w:val="3"/>
    <w:next w:val="1"/>
    <w:qFormat/>
    <w:uiPriority w:val="39"/>
    <w:pPr>
      <w:keepLines/>
      <w:widowControl/>
      <w:spacing w:before="480" w:line="276" w:lineRule="auto"/>
      <w:jc w:val="left"/>
      <w:outlineLvl w:val="9"/>
    </w:pPr>
    <w:rPr>
      <w:rFonts w:ascii="Cambria" w:hAnsi="Cambria"/>
      <w:b/>
      <w:bCs/>
      <w:outline w:val="0"/>
      <w:color w:val="365F91"/>
      <w:kern w:val="0"/>
      <w:sz w:val="28"/>
      <w:szCs w:val="28"/>
    </w:rPr>
  </w:style>
  <w:style w:type="paragraph" w:customStyle="1" w:styleId="73">
    <w:name w:val="Char Char1"/>
    <w:basedOn w:val="1"/>
    <w:qFormat/>
    <w:uiPriority w:val="0"/>
    <w:rPr>
      <w:rFonts w:ascii="Tahoma" w:hAnsi="Tahoma"/>
      <w:sz w:val="24"/>
      <w:szCs w:val="20"/>
    </w:rPr>
  </w:style>
  <w:style w:type="character" w:customStyle="1" w:styleId="74">
    <w:name w:val="标题 2 Char"/>
    <w:basedOn w:val="32"/>
    <w:link w:val="4"/>
    <w:qFormat/>
    <w:uiPriority w:val="0"/>
    <w:rPr>
      <w:rFonts w:eastAsia="宋体"/>
      <w:kern w:val="2"/>
      <w:sz w:val="28"/>
      <w:szCs w:val="24"/>
      <w:lang w:val="en-US" w:eastAsia="zh-CN" w:bidi="ar-SA"/>
    </w:rPr>
  </w:style>
  <w:style w:type="character" w:styleId="75">
    <w:name w:val="Placeholder Text"/>
    <w:basedOn w:val="32"/>
    <w:semiHidden/>
    <w:qFormat/>
    <w:uiPriority w:val="99"/>
    <w:rPr>
      <w:color w:val="808080"/>
    </w:rPr>
  </w:style>
  <w:style w:type="character" w:customStyle="1" w:styleId="76">
    <w:name w:val="text_j_ju8"/>
    <w:basedOn w:val="32"/>
    <w:qFormat/>
    <w:uiPriority w:val="0"/>
  </w:style>
  <w:style w:type="character" w:customStyle="1" w:styleId="77">
    <w:name w:val="正文文本 Char"/>
    <w:basedOn w:val="32"/>
    <w:link w:val="12"/>
    <w:qFormat/>
    <w:uiPriority w:val="0"/>
    <w:rPr>
      <w:kern w:val="2"/>
      <w:sz w:val="24"/>
      <w:szCs w:val="24"/>
    </w:rPr>
  </w:style>
  <w:style w:type="character" w:customStyle="1" w:styleId="78">
    <w:name w:val="正文首行缩进 Char"/>
    <w:basedOn w:val="77"/>
    <w:link w:val="29"/>
    <w:qFormat/>
    <w:uiPriority w:val="0"/>
    <w:rPr>
      <w:kern w:val="2"/>
      <w:sz w:val="24"/>
      <w:szCs w:val="24"/>
    </w:rPr>
  </w:style>
  <w:style w:type="paragraph" w:customStyle="1" w:styleId="79">
    <w:name w:val="样式1"/>
    <w:basedOn w:val="1"/>
    <w:qFormat/>
    <w:uiPriority w:val="0"/>
  </w:style>
  <w:style w:type="character" w:customStyle="1" w:styleId="80">
    <w:name w:val="fontstyle01"/>
    <w:basedOn w:val="32"/>
    <w:qFormat/>
    <w:uiPriority w:val="0"/>
    <w:rPr>
      <w:rFonts w:hint="default" w:ascii="TimesNewRomanPSMT" w:hAnsi="TimesNewRomanPSMT"/>
      <w:color w:val="000000"/>
      <w:sz w:val="24"/>
      <w:szCs w:val="24"/>
    </w:rPr>
  </w:style>
  <w:style w:type="character" w:customStyle="1" w:styleId="81">
    <w:name w:val="fontstyle21"/>
    <w:basedOn w:val="32"/>
    <w:qFormat/>
    <w:uiPriority w:val="0"/>
    <w:rPr>
      <w:rFonts w:hint="eastAsia" w:ascii="宋体" w:hAnsi="宋体" w:eastAsia="宋体"/>
      <w:color w:val="000000"/>
      <w:sz w:val="24"/>
      <w:szCs w:val="24"/>
    </w:rPr>
  </w:style>
  <w:style w:type="paragraph" w:customStyle="1" w:styleId="82">
    <w:name w:val="标题4"/>
    <w:basedOn w:val="1"/>
    <w:qFormat/>
    <w:uiPriority w:val="0"/>
    <w:pPr>
      <w:numPr>
        <w:ilvl w:val="0"/>
        <w:numId w:val="6"/>
      </w:numPr>
    </w:pPr>
    <w:rPr>
      <w:szCs w:val="20"/>
    </w:rPr>
  </w:style>
  <w:style w:type="character" w:customStyle="1" w:styleId="83">
    <w:name w:val="样式 黑体 小四 Char Char"/>
    <w:link w:val="84"/>
    <w:qFormat/>
    <w:uiPriority w:val="0"/>
    <w:rPr>
      <w:rFonts w:ascii="黑体" w:hAnsi="Arial" w:eastAsia="黑体" w:cs="Arial"/>
      <w:b/>
      <w:bCs/>
      <w:kern w:val="2"/>
      <w:sz w:val="24"/>
      <w:szCs w:val="32"/>
    </w:rPr>
  </w:style>
  <w:style w:type="paragraph" w:customStyle="1" w:styleId="84">
    <w:name w:val="样式 黑体 小四"/>
    <w:basedOn w:val="2"/>
    <w:link w:val="83"/>
    <w:qFormat/>
    <w:uiPriority w:val="0"/>
    <w:rPr>
      <w:rFonts w:ascii="黑体" w:hAnsi="Arial" w:eastAsia="黑体" w:cs="Arial"/>
      <w:sz w:val="24"/>
    </w:rPr>
  </w:style>
  <w:style w:type="character" w:customStyle="1" w:styleId="85">
    <w:name w:val="标题 Char"/>
    <w:basedOn w:val="32"/>
    <w:link w:val="2"/>
    <w:qFormat/>
    <w:uiPriority w:val="0"/>
    <w:rPr>
      <w:rFonts w:asciiTheme="majorHAnsi" w:hAnsiTheme="majorHAnsi" w:cstheme="majorBidi"/>
      <w:b/>
      <w:bCs/>
      <w:kern w:val="2"/>
      <w:sz w:val="32"/>
      <w:szCs w:val="32"/>
    </w:rPr>
  </w:style>
  <w:style w:type="character" w:customStyle="1" w:styleId="86">
    <w:name w:val="fontstyle11"/>
    <w:basedOn w:val="32"/>
    <w:qFormat/>
    <w:uiPriority w:val="0"/>
    <w:rPr>
      <w:rFonts w:hint="default" w:ascii="E-BX" w:hAnsi="E-BX"/>
      <w:color w:val="000000"/>
      <w:sz w:val="20"/>
      <w:szCs w:val="20"/>
    </w:rPr>
  </w:style>
  <w:style w:type="paragraph" w:customStyle="1" w:styleId="87">
    <w:name w:val="TOC 标题2"/>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outline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37.wmf"/><Relationship Id="rId97" Type="http://schemas.openxmlformats.org/officeDocument/2006/relationships/oleObject" Target="embeddings/oleObject41.bin"/><Relationship Id="rId96" Type="http://schemas.openxmlformats.org/officeDocument/2006/relationships/oleObject" Target="embeddings/oleObject40.bin"/><Relationship Id="rId95" Type="http://schemas.openxmlformats.org/officeDocument/2006/relationships/image" Target="media/image36.wmf"/><Relationship Id="rId94" Type="http://schemas.openxmlformats.org/officeDocument/2006/relationships/oleObject" Target="embeddings/oleObject39.bin"/><Relationship Id="rId93" Type="http://schemas.openxmlformats.org/officeDocument/2006/relationships/image" Target="media/image35.wmf"/><Relationship Id="rId92" Type="http://schemas.openxmlformats.org/officeDocument/2006/relationships/oleObject" Target="embeddings/oleObject38.bin"/><Relationship Id="rId91" Type="http://schemas.openxmlformats.org/officeDocument/2006/relationships/image" Target="media/image34.wmf"/><Relationship Id="rId90" Type="http://schemas.openxmlformats.org/officeDocument/2006/relationships/oleObject" Target="embeddings/oleObject37.bin"/><Relationship Id="rId9" Type="http://schemas.openxmlformats.org/officeDocument/2006/relationships/footer" Target="footer4.xml"/><Relationship Id="rId89" Type="http://schemas.openxmlformats.org/officeDocument/2006/relationships/image" Target="media/image33.wmf"/><Relationship Id="rId88" Type="http://schemas.openxmlformats.org/officeDocument/2006/relationships/oleObject" Target="embeddings/oleObject36.bin"/><Relationship Id="rId87" Type="http://schemas.openxmlformats.org/officeDocument/2006/relationships/image" Target="media/image32.wmf"/><Relationship Id="rId86" Type="http://schemas.openxmlformats.org/officeDocument/2006/relationships/oleObject" Target="embeddings/oleObject35.bin"/><Relationship Id="rId85" Type="http://schemas.openxmlformats.org/officeDocument/2006/relationships/oleObject" Target="embeddings/oleObject34.bin"/><Relationship Id="rId84" Type="http://schemas.openxmlformats.org/officeDocument/2006/relationships/image" Target="media/image31.wmf"/><Relationship Id="rId83" Type="http://schemas.openxmlformats.org/officeDocument/2006/relationships/oleObject" Target="embeddings/oleObject33.bin"/><Relationship Id="rId82" Type="http://schemas.openxmlformats.org/officeDocument/2006/relationships/image" Target="media/image30.wmf"/><Relationship Id="rId81" Type="http://schemas.openxmlformats.org/officeDocument/2006/relationships/oleObject" Target="embeddings/oleObject32.bin"/><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29.wmf"/><Relationship Id="rId78" Type="http://schemas.openxmlformats.org/officeDocument/2006/relationships/oleObject" Target="embeddings/oleObject30.bin"/><Relationship Id="rId77" Type="http://schemas.openxmlformats.org/officeDocument/2006/relationships/oleObject" Target="embeddings/oleObject29.bin"/><Relationship Id="rId76" Type="http://schemas.openxmlformats.org/officeDocument/2006/relationships/image" Target="media/image28.wmf"/><Relationship Id="rId75" Type="http://schemas.openxmlformats.org/officeDocument/2006/relationships/oleObject" Target="embeddings/oleObject28.bin"/><Relationship Id="rId74" Type="http://schemas.openxmlformats.org/officeDocument/2006/relationships/oleObject" Target="embeddings/oleObject27.bin"/><Relationship Id="rId73" Type="http://schemas.openxmlformats.org/officeDocument/2006/relationships/image" Target="media/image27.wmf"/><Relationship Id="rId72" Type="http://schemas.openxmlformats.org/officeDocument/2006/relationships/oleObject" Target="embeddings/oleObject26.bin"/><Relationship Id="rId71" Type="http://schemas.openxmlformats.org/officeDocument/2006/relationships/image" Target="media/image26.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25.wmf"/><Relationship Id="rId68" Type="http://schemas.openxmlformats.org/officeDocument/2006/relationships/oleObject" Target="embeddings/oleObject24.bin"/><Relationship Id="rId67" Type="http://schemas.openxmlformats.org/officeDocument/2006/relationships/image" Target="media/image24.wmf"/><Relationship Id="rId66" Type="http://schemas.openxmlformats.org/officeDocument/2006/relationships/oleObject" Target="embeddings/oleObject23.bin"/><Relationship Id="rId65" Type="http://schemas.openxmlformats.org/officeDocument/2006/relationships/image" Target="media/image23.wmf"/><Relationship Id="rId64" Type="http://schemas.openxmlformats.org/officeDocument/2006/relationships/oleObject" Target="embeddings/oleObject22.bin"/><Relationship Id="rId63" Type="http://schemas.openxmlformats.org/officeDocument/2006/relationships/image" Target="media/image22.wmf"/><Relationship Id="rId62" Type="http://schemas.openxmlformats.org/officeDocument/2006/relationships/oleObject" Target="embeddings/oleObject21.bin"/><Relationship Id="rId61" Type="http://schemas.openxmlformats.org/officeDocument/2006/relationships/image" Target="media/image21.wmf"/><Relationship Id="rId60" Type="http://schemas.openxmlformats.org/officeDocument/2006/relationships/oleObject" Target="embeddings/oleObject20.bin"/><Relationship Id="rId6" Type="http://schemas.openxmlformats.org/officeDocument/2006/relationships/header" Target="header3.xml"/><Relationship Id="rId59" Type="http://schemas.openxmlformats.org/officeDocument/2006/relationships/oleObject" Target="embeddings/oleObject19.bin"/><Relationship Id="rId58" Type="http://schemas.openxmlformats.org/officeDocument/2006/relationships/image" Target="media/image20.wmf"/><Relationship Id="rId57" Type="http://schemas.openxmlformats.org/officeDocument/2006/relationships/oleObject" Target="embeddings/oleObject18.bin"/><Relationship Id="rId56" Type="http://schemas.openxmlformats.org/officeDocument/2006/relationships/image" Target="media/image19.wmf"/><Relationship Id="rId55" Type="http://schemas.openxmlformats.org/officeDocument/2006/relationships/oleObject" Target="embeddings/oleObject17.bin"/><Relationship Id="rId54" Type="http://schemas.openxmlformats.org/officeDocument/2006/relationships/image" Target="media/image18.wmf"/><Relationship Id="rId53" Type="http://schemas.openxmlformats.org/officeDocument/2006/relationships/oleObject" Target="embeddings/oleObject16.bin"/><Relationship Id="rId52" Type="http://schemas.openxmlformats.org/officeDocument/2006/relationships/image" Target="media/image17.wmf"/><Relationship Id="rId51" Type="http://schemas.openxmlformats.org/officeDocument/2006/relationships/oleObject" Target="embeddings/oleObject15.bin"/><Relationship Id="rId50" Type="http://schemas.openxmlformats.org/officeDocument/2006/relationships/image" Target="media/image16.wmf"/><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image" Target="media/image15.wmf"/><Relationship Id="rId47" Type="http://schemas.openxmlformats.org/officeDocument/2006/relationships/oleObject" Target="embeddings/oleObject13.bin"/><Relationship Id="rId46" Type="http://schemas.openxmlformats.org/officeDocument/2006/relationships/image" Target="media/image14.wmf"/><Relationship Id="rId45" Type="http://schemas.openxmlformats.org/officeDocument/2006/relationships/oleObject" Target="embeddings/oleObject12.bin"/><Relationship Id="rId44" Type="http://schemas.openxmlformats.org/officeDocument/2006/relationships/image" Target="media/image13.wmf"/><Relationship Id="rId43" Type="http://schemas.openxmlformats.org/officeDocument/2006/relationships/oleObject" Target="embeddings/oleObject11.bin"/><Relationship Id="rId42" Type="http://schemas.openxmlformats.org/officeDocument/2006/relationships/image" Target="media/image12.wmf"/><Relationship Id="rId41" Type="http://schemas.openxmlformats.org/officeDocument/2006/relationships/oleObject" Target="embeddings/oleObject10.bin"/><Relationship Id="rId40" Type="http://schemas.openxmlformats.org/officeDocument/2006/relationships/image" Target="media/image11.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10.wmf"/><Relationship Id="rId37" Type="http://schemas.openxmlformats.org/officeDocument/2006/relationships/oleObject" Target="embeddings/oleObject8.bin"/><Relationship Id="rId36" Type="http://schemas.openxmlformats.org/officeDocument/2006/relationships/oleObject" Target="embeddings/oleObject7.bin"/><Relationship Id="rId35" Type="http://schemas.openxmlformats.org/officeDocument/2006/relationships/oleObject" Target="embeddings/oleObject6.bin"/><Relationship Id="rId34" Type="http://schemas.openxmlformats.org/officeDocument/2006/relationships/image" Target="media/image9.wmf"/><Relationship Id="rId33" Type="http://schemas.openxmlformats.org/officeDocument/2006/relationships/oleObject" Target="embeddings/oleObject5.bin"/><Relationship Id="rId32" Type="http://schemas.openxmlformats.org/officeDocument/2006/relationships/image" Target="media/image8.wmf"/><Relationship Id="rId31" Type="http://schemas.openxmlformats.org/officeDocument/2006/relationships/oleObject" Target="embeddings/oleObject4.bin"/><Relationship Id="rId30" Type="http://schemas.openxmlformats.org/officeDocument/2006/relationships/image" Target="media/image7.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6.wmf"/><Relationship Id="rId27" Type="http://schemas.openxmlformats.org/officeDocument/2006/relationships/oleObject" Target="embeddings/oleObject2.bin"/><Relationship Id="rId26" Type="http://schemas.openxmlformats.org/officeDocument/2006/relationships/image" Target="media/image5.wmf"/><Relationship Id="rId25" Type="http://schemas.openxmlformats.org/officeDocument/2006/relationships/oleObject" Target="embeddings/oleObject1.bin"/><Relationship Id="rId24" Type="http://schemas.openxmlformats.org/officeDocument/2006/relationships/image" Target="media/image4.emf"/><Relationship Id="rId23" Type="http://schemas.openxmlformats.org/officeDocument/2006/relationships/oleObject" Target="embeddings/Microsoft_Visio_2003-2010___2.vsd"/><Relationship Id="rId22" Type="http://schemas.openxmlformats.org/officeDocument/2006/relationships/image" Target="media/image3.emf"/><Relationship Id="rId21" Type="http://schemas.openxmlformats.org/officeDocument/2006/relationships/package" Target="embeddings/Microsoft_Visio___1.vsdx"/><Relationship Id="rId20" Type="http://schemas.openxmlformats.org/officeDocument/2006/relationships/image" Target="media/image2.GIF"/><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7.xml"/><Relationship Id="rId115" Type="http://schemas.openxmlformats.org/officeDocument/2006/relationships/fontTable" Target="fontTable.xml"/><Relationship Id="rId114" Type="http://schemas.openxmlformats.org/officeDocument/2006/relationships/customXml" Target="../customXml/item2.xml"/><Relationship Id="rId113" Type="http://schemas.openxmlformats.org/officeDocument/2006/relationships/numbering" Target="numbering.xml"/><Relationship Id="rId112" Type="http://schemas.openxmlformats.org/officeDocument/2006/relationships/customXml" Target="../customXml/item1.xml"/><Relationship Id="rId111" Type="http://schemas.openxmlformats.org/officeDocument/2006/relationships/image" Target="media/image42.wmf"/><Relationship Id="rId110" Type="http://schemas.openxmlformats.org/officeDocument/2006/relationships/oleObject" Target="embeddings/oleObject49.bin"/><Relationship Id="rId11" Type="http://schemas.openxmlformats.org/officeDocument/2006/relationships/footer" Target="footer6.xml"/><Relationship Id="rId109" Type="http://schemas.openxmlformats.org/officeDocument/2006/relationships/image" Target="media/image41.wmf"/><Relationship Id="rId108" Type="http://schemas.openxmlformats.org/officeDocument/2006/relationships/oleObject" Target="embeddings/oleObject48.bin"/><Relationship Id="rId107" Type="http://schemas.openxmlformats.org/officeDocument/2006/relationships/image" Target="media/image40.wmf"/><Relationship Id="rId106" Type="http://schemas.openxmlformats.org/officeDocument/2006/relationships/oleObject" Target="embeddings/oleObject47.bin"/><Relationship Id="rId105" Type="http://schemas.openxmlformats.org/officeDocument/2006/relationships/oleObject" Target="embeddings/oleObject46.bin"/><Relationship Id="rId104" Type="http://schemas.openxmlformats.org/officeDocument/2006/relationships/image" Target="media/image39.wmf"/><Relationship Id="rId103" Type="http://schemas.openxmlformats.org/officeDocument/2006/relationships/oleObject" Target="embeddings/oleObject45.bin"/><Relationship Id="rId102" Type="http://schemas.openxmlformats.org/officeDocument/2006/relationships/oleObject" Target="embeddings/oleObject44.bin"/><Relationship Id="rId101" Type="http://schemas.openxmlformats.org/officeDocument/2006/relationships/image" Target="media/image38.wmf"/><Relationship Id="rId100" Type="http://schemas.openxmlformats.org/officeDocument/2006/relationships/oleObject" Target="embeddings/oleObject43.bin"/><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2050"/>
    <customShpInfo spid="_x0000_s2085"/>
    <customShpInfo spid="_x0000_s2084"/>
    <customShpInfo spid="_x0000_s208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4789E8-892B-48A0-B783-A89C5705D79F}">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20</Pages>
  <Words>4072</Words>
  <Characters>4909</Characters>
  <Lines>60</Lines>
  <Paragraphs>16</Paragraphs>
  <TotalTime>0</TotalTime>
  <ScaleCrop>false</ScaleCrop>
  <LinksUpToDate>false</LinksUpToDate>
  <CharactersWithSpaces>5272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2024-10-09T03:24:00Z</dcterms:created>
  <dc:creator>Saint</dc:creator>
  <cp:lastModifiedBy>桂桂</cp:lastModifiedBy>
  <cp:lastPrinted>2021-09-23T00:19:00Z</cp:lastPrinted>
  <dcterms:modified xsi:type="dcterms:W3CDTF">2025-07-22T01:05:54Z</dcterms:modified>
  <dc:title>JJF</dc:title>
  <cp:revision>593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eyJoZGlkIjoiNjc3MTJlNTEzOTM5ZDI4Mzk3OTA2YTc2YmRmZjczYzQiLCJ1c2VySWQiOiI2NzgyNzEzNjUifQ==</vt:lpwstr>
  </property>
  <property fmtid="{D5CDD505-2E9C-101B-9397-08002B2CF9AE}" pid="4" name="ICV">
    <vt:lpwstr>3C4E1BDD83E74BD19C5426312400D84E_12</vt:lpwstr>
  </property>
</Properties>
</file>